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70272B">
      <w:pPr>
        <w:wordWrap w:val="0"/>
        <w:jc w:val="right"/>
        <w:rPr>
          <w:rFonts w:hint="eastAsia" w:ascii="楷体_GB2312" w:eastAsia="楷体_GB2312" w:cs="楷体_GB2312"/>
          <w:b/>
          <w:bCs w:val="0"/>
          <w:sz w:val="30"/>
          <w:szCs w:val="24"/>
          <w:lang w:val="en-US"/>
        </w:rPr>
      </w:pPr>
      <w:r>
        <w:rPr>
          <w:rFonts w:hint="eastAsia" w:ascii="楷体_GB2312" w:eastAsia="楷体_GB2312" w:cs="楷体_GB2312"/>
          <w:b/>
          <w:bCs w:val="0"/>
          <w:sz w:val="30"/>
          <w:szCs w:val="24"/>
          <w:lang w:eastAsia="zh-CN"/>
        </w:rPr>
        <w:t>统一社会信用代码</w:t>
      </w:r>
      <w:r>
        <w:rPr>
          <w:rFonts w:hint="eastAsia" w:ascii="楷体_GB2312" w:eastAsia="楷体_GB2312" w:cs="楷体_GB2312"/>
          <w:b/>
          <w:bCs w:val="0"/>
          <w:sz w:val="30"/>
          <w:szCs w:val="24"/>
          <w:lang w:val="en-US"/>
        </w:rPr>
        <w:t xml:space="preserve">   </w:t>
      </w:r>
    </w:p>
    <w:p w14:paraId="44FA248D">
      <w:pPr>
        <w:wordWrap w:val="0"/>
        <w:jc w:val="right"/>
        <w:rPr>
          <w:rFonts w:eastAsia="楷体_GB2312"/>
          <w:b/>
          <w:bCs/>
          <w:sz w:val="30"/>
          <w:szCs w:val="24"/>
          <w:lang w:val="en-US"/>
        </w:rPr>
      </w:pPr>
      <w:r>
        <w:rPr>
          <w:rFonts w:eastAsia="楷体_GB2312"/>
          <w:b/>
          <w:bCs/>
          <w:sz w:val="30"/>
          <w:szCs w:val="24"/>
          <w:lang w:val="en-US"/>
        </w:rPr>
        <w:t xml:space="preserve">   </w:t>
      </w:r>
      <w:r>
        <w:rPr>
          <w:rStyle w:val="14"/>
          <w:b/>
          <w:bCs/>
          <w:sz w:val="30"/>
          <w:szCs w:val="30"/>
          <w:lang w:val="en-US"/>
        </w:rPr>
        <w:t>123204024672925455</w:t>
      </w:r>
      <w:r>
        <w:rPr>
          <w:rFonts w:eastAsia="楷体_GB2312"/>
          <w:b/>
          <w:bCs/>
          <w:sz w:val="30"/>
          <w:szCs w:val="24"/>
          <w:lang w:val="en-US"/>
        </w:rPr>
        <w:t xml:space="preserve">   </w:t>
      </w:r>
    </w:p>
    <w:p w14:paraId="41A42E9D">
      <w:pPr>
        <w:jc w:val="right"/>
        <w:rPr>
          <w:lang w:val="en-US"/>
        </w:rPr>
      </w:pPr>
    </w:p>
    <w:p w14:paraId="3BBFB184">
      <w:pPr>
        <w:jc w:val="right"/>
        <w:rPr>
          <w:lang w:val="en-US"/>
        </w:rPr>
      </w:pPr>
    </w:p>
    <w:p w14:paraId="4A3BA100">
      <w:pPr>
        <w:jc w:val="right"/>
        <w:rPr>
          <w:lang w:val="en-US"/>
        </w:rPr>
      </w:pPr>
    </w:p>
    <w:p w14:paraId="540DFC53">
      <w:pPr>
        <w:jc w:val="right"/>
        <w:rPr>
          <w:lang w:val="en-US"/>
        </w:rPr>
      </w:pPr>
    </w:p>
    <w:p w14:paraId="01084AD7">
      <w:pPr>
        <w:jc w:val="right"/>
        <w:rPr>
          <w:lang w:val="en-US"/>
        </w:rPr>
      </w:pPr>
    </w:p>
    <w:p w14:paraId="27C3441F">
      <w:pPr>
        <w:jc w:val="center"/>
        <w:rPr>
          <w:rFonts w:eastAsia="黑体"/>
          <w:b/>
          <w:bCs/>
          <w:spacing w:val="40"/>
          <w:sz w:val="52"/>
          <w:szCs w:val="24"/>
          <w:lang w:val="en-US"/>
        </w:rPr>
      </w:pPr>
      <w:r>
        <w:rPr>
          <w:rFonts w:hint="eastAsia" w:ascii="Times New Roman" w:hAnsi="宋体" w:eastAsia="黑体" w:cs="黑体"/>
          <w:b/>
          <w:bCs/>
          <w:spacing w:val="40"/>
          <w:sz w:val="52"/>
          <w:szCs w:val="24"/>
          <w:lang w:eastAsia="zh-CN"/>
        </w:rPr>
        <w:t>事业单位法人年度报告书</w:t>
      </w:r>
    </w:p>
    <w:p w14:paraId="3619B372">
      <w:pPr>
        <w:jc w:val="center"/>
        <w:rPr>
          <w:rFonts w:eastAsia="黑体"/>
          <w:b/>
          <w:bCs/>
          <w:spacing w:val="30"/>
          <w:lang w:val="en-US"/>
        </w:rPr>
      </w:pPr>
    </w:p>
    <w:p w14:paraId="6F048EB5">
      <w:pPr>
        <w:jc w:val="center"/>
        <w:rPr>
          <w:rFonts w:eastAsia="楷体_GB2312"/>
          <w:b/>
          <w:bCs/>
          <w:spacing w:val="30"/>
          <w:sz w:val="36"/>
          <w:szCs w:val="24"/>
          <w:lang w:val="en-US"/>
        </w:rPr>
      </w:pPr>
      <w:r>
        <w:rPr>
          <w:rFonts w:hint="eastAsia" w:ascii="Times New Roman" w:eastAsia="楷体_GB2312" w:cs="楷体_GB2312"/>
          <w:b/>
          <w:bCs/>
          <w:spacing w:val="30"/>
          <w:sz w:val="36"/>
          <w:szCs w:val="24"/>
          <w:lang w:eastAsia="zh-CN"/>
        </w:rPr>
        <w:t>（</w:t>
      </w:r>
      <w:r>
        <w:rPr>
          <w:rFonts w:eastAsia="楷体_GB2312"/>
          <w:b/>
          <w:bCs/>
          <w:spacing w:val="30"/>
          <w:sz w:val="36"/>
          <w:szCs w:val="24"/>
          <w:lang w:val="en-US"/>
        </w:rPr>
        <w:t xml:space="preserve">  </w:t>
      </w:r>
      <w:r>
        <w:rPr>
          <w:rStyle w:val="14"/>
          <w:b/>
          <w:bCs/>
          <w:sz w:val="30"/>
          <w:szCs w:val="30"/>
          <w:lang w:val="en-US"/>
        </w:rPr>
        <w:t>2017</w:t>
      </w:r>
      <w:r>
        <w:rPr>
          <w:rFonts w:eastAsia="楷体_GB2312"/>
          <w:b/>
          <w:bCs/>
          <w:spacing w:val="30"/>
          <w:sz w:val="36"/>
          <w:szCs w:val="24"/>
          <w:lang w:val="en-US"/>
        </w:rPr>
        <w:t xml:space="preserve">  </w:t>
      </w:r>
      <w:r>
        <w:rPr>
          <w:rFonts w:hint="eastAsia" w:ascii="Times New Roman" w:eastAsia="楷体_GB2312" w:cs="楷体_GB2312"/>
          <w:b/>
          <w:bCs/>
          <w:spacing w:val="30"/>
          <w:sz w:val="36"/>
          <w:szCs w:val="24"/>
          <w:lang w:eastAsia="zh-CN"/>
        </w:rPr>
        <w:t>年度）</w:t>
      </w:r>
    </w:p>
    <w:p w14:paraId="156CA663">
      <w:pPr>
        <w:jc w:val="center"/>
        <w:rPr>
          <w:sz w:val="36"/>
          <w:szCs w:val="24"/>
          <w:lang w:val="en-US"/>
        </w:rPr>
      </w:pPr>
    </w:p>
    <w:p w14:paraId="30890331">
      <w:pPr>
        <w:jc w:val="center"/>
        <w:rPr>
          <w:sz w:val="36"/>
          <w:szCs w:val="24"/>
          <w:lang w:val="en-US"/>
        </w:rPr>
      </w:pPr>
    </w:p>
    <w:p w14:paraId="1D8AA7DD">
      <w:pPr>
        <w:jc w:val="center"/>
        <w:rPr>
          <w:sz w:val="36"/>
          <w:szCs w:val="24"/>
          <w:lang w:val="en-US"/>
        </w:rPr>
      </w:pPr>
    </w:p>
    <w:p w14:paraId="1A8976EE">
      <w:pPr>
        <w:jc w:val="center"/>
        <w:rPr>
          <w:sz w:val="36"/>
          <w:szCs w:val="24"/>
          <w:lang w:val="en-US"/>
        </w:rPr>
      </w:pPr>
    </w:p>
    <w:p w14:paraId="15E753D9">
      <w:pPr>
        <w:jc w:val="center"/>
        <w:rPr>
          <w:sz w:val="36"/>
          <w:szCs w:val="24"/>
          <w:lang w:val="en-US"/>
        </w:rPr>
      </w:pPr>
    </w:p>
    <w:p w14:paraId="07A52F7B">
      <w:pPr>
        <w:jc w:val="center"/>
        <w:rPr>
          <w:sz w:val="36"/>
          <w:szCs w:val="24"/>
          <w:lang w:val="en-US"/>
        </w:rPr>
      </w:pPr>
    </w:p>
    <w:tbl>
      <w:tblPr>
        <w:tblStyle w:val="1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4AF84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shd w:val="clear"/>
            <w:vAlign w:val="bottom"/>
          </w:tcPr>
          <w:p w14:paraId="1150CC51">
            <w:pPr>
              <w:jc w:val="distribute"/>
            </w:pPr>
            <w:r>
              <w:rPr>
                <w:rStyle w:val="16"/>
                <w:b/>
                <w:bCs/>
                <w:sz w:val="36"/>
                <w:szCs w:val="24"/>
                <w:bdr w:val="none" w:color="auto" w:sz="0" w:space="0"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/>
            <w:vAlign w:val="bottom"/>
          </w:tcPr>
          <w:p w14:paraId="30A9B9BE">
            <w:pPr>
              <w:jc w:val="center"/>
              <w:rPr>
                <w:rFonts w:hint="eastAsia" w:ascii="楷体_GB2312" w:eastAsia="楷体_GB2312" w:cs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rFonts w:hint="eastAsia" w:ascii="楷体_GB2312" w:eastAsia="楷体_GB2312" w:cs="楷体_GB2312"/>
                <w:sz w:val="32"/>
                <w:szCs w:val="24"/>
                <w:bdr w:val="none" w:color="auto" w:sz="0" w:space="0"/>
                <w:lang w:val="en-US"/>
              </w:rPr>
              <w:t>常州市天宁区青龙中心幼儿园</w:t>
            </w:r>
          </w:p>
        </w:tc>
      </w:tr>
    </w:tbl>
    <w:p w14:paraId="40021ABC">
      <w:pPr>
        <w:rPr>
          <w:rFonts w:hint="eastAsia" w:ascii="黑体" w:hAnsi="宋体" w:eastAsia="黑体" w:cs="黑体"/>
          <w:b/>
          <w:bCs/>
          <w:sz w:val="24"/>
          <w:szCs w:val="24"/>
          <w:u w:val="single"/>
          <w:lang w:val="en-US"/>
        </w:rPr>
      </w:pPr>
    </w:p>
    <w:tbl>
      <w:tblPr>
        <w:tblStyle w:val="1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1AA89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shd w:val="clear"/>
            <w:vAlign w:val="bottom"/>
          </w:tcPr>
          <w:p w14:paraId="600753E6">
            <w:pPr>
              <w:jc w:val="distribute"/>
            </w:pPr>
            <w:r>
              <w:rPr>
                <w:rStyle w:val="16"/>
                <w:b/>
                <w:bCs/>
                <w:sz w:val="36"/>
                <w:szCs w:val="24"/>
                <w:bdr w:val="none" w:color="auto" w:sz="0" w:space="0"/>
              </w:rPr>
              <w:t>法</w:t>
            </w:r>
            <w:r>
              <w:rPr>
                <w:rStyle w:val="16"/>
                <w:b/>
                <w:bCs/>
                <w:spacing w:val="30"/>
                <w:sz w:val="36"/>
                <w:szCs w:val="24"/>
                <w:bdr w:val="none" w:color="auto" w:sz="0" w:space="0"/>
              </w:rPr>
              <w:t>定代表</w:t>
            </w:r>
            <w:r>
              <w:rPr>
                <w:rStyle w:val="16"/>
                <w:b/>
                <w:bCs/>
                <w:sz w:val="36"/>
                <w:szCs w:val="24"/>
                <w:bdr w:val="none" w:color="auto" w:sz="0" w:space="0"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/>
            <w:vAlign w:val="bottom"/>
          </w:tcPr>
          <w:p w14:paraId="69D6716E">
            <w:pPr>
              <w:keepNext w:val="0"/>
              <w:keepLines w:val="0"/>
              <w:widowControl/>
              <w:suppressLineNumbers w:val="0"/>
              <w:jc w:val="left"/>
              <w:rPr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</w:tbl>
    <w:p w14:paraId="7D5B6E55">
      <w:pPr>
        <w:ind w:left="0" w:firstLine="723" w:firstLineChars="300"/>
        <w:rPr>
          <w:rFonts w:hint="eastAsia" w:ascii="黑体" w:hAnsi="宋体" w:eastAsia="黑体" w:cs="黑体"/>
          <w:b/>
          <w:bCs/>
          <w:sz w:val="24"/>
          <w:szCs w:val="24"/>
          <w:u w:val="single"/>
          <w:lang w:val="en-US"/>
        </w:rPr>
      </w:pPr>
    </w:p>
    <w:p w14:paraId="3EE2B0B1">
      <w:pPr>
        <w:jc w:val="center"/>
        <w:rPr>
          <w:rFonts w:hint="eastAsia" w:ascii="黑体" w:hAnsi="宋体" w:eastAsia="黑体" w:cs="黑体"/>
          <w:b/>
          <w:bCs/>
          <w:sz w:val="30"/>
          <w:szCs w:val="24"/>
          <w:u w:val="single"/>
          <w:lang w:val="en-US"/>
        </w:rPr>
      </w:pPr>
    </w:p>
    <w:p w14:paraId="1CA9BC03">
      <w:pPr>
        <w:jc w:val="center"/>
        <w:rPr>
          <w:rFonts w:hint="eastAsia" w:ascii="黑体" w:hAnsi="宋体" w:eastAsia="黑体" w:cs="黑体"/>
          <w:b/>
          <w:bCs/>
          <w:sz w:val="30"/>
          <w:szCs w:val="24"/>
          <w:u w:val="single"/>
          <w:lang w:val="en-US"/>
        </w:rPr>
      </w:pPr>
    </w:p>
    <w:p w14:paraId="0CF099D3">
      <w:pPr>
        <w:jc w:val="center"/>
        <w:rPr>
          <w:u w:val="single"/>
          <w:lang w:val="en-US"/>
        </w:rPr>
      </w:pPr>
    </w:p>
    <w:p w14:paraId="697487F5">
      <w:pPr>
        <w:jc w:val="center"/>
        <w:rPr>
          <w:rFonts w:eastAsia="楷体_GB2312"/>
          <w:b/>
          <w:bCs/>
          <w:sz w:val="32"/>
          <w:szCs w:val="24"/>
          <w:lang w:val="en-US"/>
        </w:rPr>
      </w:pPr>
      <w:r>
        <w:rPr>
          <w:rFonts w:hint="eastAsia" w:ascii="Times New Roman" w:eastAsia="楷体_GB2312" w:cs="楷体_GB2312"/>
          <w:b/>
          <w:bCs/>
          <w:sz w:val="32"/>
          <w:szCs w:val="24"/>
          <w:lang w:eastAsia="zh-CN"/>
        </w:rPr>
        <w:t>国家事业单位登记管理局制</w:t>
      </w:r>
    </w:p>
    <w:p w14:paraId="448EB78A">
      <w:pPr>
        <w:jc w:val="center"/>
        <w:rPr>
          <w:rFonts w:eastAsia="楷体_GB2312"/>
          <w:b/>
          <w:bCs/>
          <w:sz w:val="32"/>
          <w:szCs w:val="24"/>
          <w:lang w:val="en-US"/>
        </w:rPr>
      </w:pPr>
    </w:p>
    <w:tbl>
      <w:tblPr>
        <w:tblStyle w:val="1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2"/>
        <w:gridCol w:w="2452"/>
      </w:tblGrid>
      <w:tr w14:paraId="5EDC0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1DD488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《事业</w:t>
            </w:r>
          </w:p>
          <w:p w14:paraId="49323EEB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单位</w:t>
            </w:r>
          </w:p>
          <w:p w14:paraId="1576649B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法人</w:t>
            </w:r>
          </w:p>
          <w:p w14:paraId="603958AD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证书》</w:t>
            </w:r>
          </w:p>
          <w:p w14:paraId="6417D71D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登载</w:t>
            </w:r>
          </w:p>
          <w:p w14:paraId="26623D32">
            <w:pPr>
              <w:jc w:val="center"/>
              <w:rPr>
                <w:rFonts w:eastAsia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0B38D8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3ABF7057">
            <w:pPr>
              <w:spacing w:line="320" w:lineRule="exact"/>
              <w:jc w:val="left"/>
              <w:rPr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常州市天宁区青龙中心幼儿园</w:t>
            </w:r>
          </w:p>
        </w:tc>
      </w:tr>
      <w:tr w14:paraId="3A8F4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AD6779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01E9D20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宗旨和</w:t>
            </w:r>
          </w:p>
          <w:p w14:paraId="17DD682C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19556601">
            <w:pPr>
              <w:jc w:val="left"/>
              <w:rPr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为学龄前儿童提供保育和教育服务。幼儿保育 幼儿教育</w:t>
            </w:r>
          </w:p>
        </w:tc>
      </w:tr>
      <w:tr w14:paraId="403ED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6F937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7B941A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住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  <w:t xml:space="preserve">   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5BD80AC0">
            <w:pPr>
              <w:jc w:val="left"/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常州市天宁区青洋北路22号</w:t>
            </w:r>
          </w:p>
        </w:tc>
      </w:tr>
      <w:tr w14:paraId="58659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2031D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F964E2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5F98A271">
            <w:pPr>
              <w:jc w:val="left"/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林红妹</w:t>
            </w:r>
          </w:p>
        </w:tc>
      </w:tr>
      <w:tr w14:paraId="1C71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AABB3F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F4EC173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34F3E411">
            <w:pPr>
              <w:jc w:val="left"/>
              <w:rPr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87</w:t>
            </w: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</w:rPr>
              <w:t>（万元）</w:t>
            </w:r>
          </w:p>
        </w:tc>
      </w:tr>
      <w:tr w14:paraId="06E2E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41AB38B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7BBD31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3FDCE760">
            <w:pPr>
              <w:jc w:val="left"/>
              <w:rPr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非财政补助（经费自理）</w:t>
            </w:r>
          </w:p>
        </w:tc>
      </w:tr>
      <w:tr w14:paraId="3F0D3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8F38E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655415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25C83D18">
            <w:pPr>
              <w:jc w:val="left"/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常州市天宁区教育文体局</w:t>
            </w:r>
          </w:p>
        </w:tc>
      </w:tr>
      <w:tr w14:paraId="7421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964275">
            <w:pPr>
              <w:keepNext w:val="0"/>
              <w:keepLines w:val="0"/>
              <w:widowControl/>
              <w:suppressLineNumbers w:val="0"/>
              <w:jc w:val="center"/>
              <w:rPr>
                <w:rFonts w:eastAsia="楷体_GB2312"/>
                <w:b/>
                <w:bCs w:val="0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 w:val="0"/>
                <w:sz w:val="32"/>
                <w:szCs w:val="24"/>
                <w:bdr w:val="none" w:color="auto" w:sz="0" w:space="0"/>
              </w:rPr>
              <w:t>资产</w:t>
            </w:r>
          </w:p>
          <w:p w14:paraId="46F7639A">
            <w:pPr>
              <w:keepNext w:val="0"/>
              <w:keepLines w:val="0"/>
              <w:widowControl/>
              <w:suppressLineNumbers w:val="0"/>
              <w:jc w:val="center"/>
              <w:rPr>
                <w:rFonts w:eastAsia="楷体_GB2312"/>
                <w:b/>
                <w:bCs w:val="0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 w:val="0"/>
                <w:sz w:val="32"/>
                <w:szCs w:val="24"/>
                <w:bdr w:val="none" w:color="auto" w:sz="0" w:space="0"/>
              </w:rPr>
              <w:t>损益</w:t>
            </w:r>
          </w:p>
          <w:p w14:paraId="2BCAE950">
            <w:pPr>
              <w:keepNext w:val="0"/>
              <w:keepLines w:val="0"/>
              <w:widowControl/>
              <w:suppressLineNumbers w:val="0"/>
              <w:jc w:val="center"/>
              <w:rPr>
                <w:rFonts w:eastAsia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 w:val="0"/>
                <w:sz w:val="32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06F20278">
            <w:pPr>
              <w:jc w:val="center"/>
              <w:rPr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rFonts w:hint="eastAsia" w:ascii="Times New Roman" w:eastAsia="楷体_GB2312" w:cs="楷体_GB2312"/>
                <w:sz w:val="32"/>
                <w:szCs w:val="24"/>
                <w:bdr w:val="none" w:color="auto" w:sz="0" w:space="0"/>
              </w:rPr>
              <w:t>净资产合计（所有者权益合计）</w:t>
            </w:r>
          </w:p>
        </w:tc>
      </w:tr>
      <w:tr w14:paraId="0FA87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B6DF71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3B77F2">
            <w:pPr>
              <w:jc w:val="center"/>
              <w:rPr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rFonts w:hint="eastAsia" w:ascii="Times New Roman" w:eastAsia="楷体_GB2312" w:cs="楷体_GB2312"/>
                <w:sz w:val="32"/>
                <w:szCs w:val="24"/>
                <w:bdr w:val="none" w:color="auto" w:sz="0" w:space="0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2AD034EC">
            <w:pPr>
              <w:jc w:val="center"/>
              <w:rPr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rFonts w:hint="eastAsia" w:ascii="Times New Roman" w:eastAsia="楷体_GB2312" w:cs="楷体_GB2312"/>
                <w:sz w:val="32"/>
                <w:szCs w:val="24"/>
                <w:bdr w:val="none" w:color="auto" w:sz="0" w:space="0"/>
              </w:rPr>
              <w:t>年末数（万元）</w:t>
            </w:r>
          </w:p>
        </w:tc>
      </w:tr>
      <w:tr w14:paraId="0925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4CA684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BC124FA">
            <w:pPr>
              <w:jc w:val="center"/>
              <w:rPr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sz w:val="32"/>
                <w:szCs w:val="24"/>
                <w:bdr w:val="none" w:color="auto" w:sz="0" w:space="0"/>
                <w:lang w:val="en-US"/>
              </w:rPr>
              <w:t>455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3A2514D3">
            <w:pPr>
              <w:jc w:val="center"/>
            </w:pPr>
            <w:r>
              <w:rPr>
                <w:rStyle w:val="19"/>
                <w:sz w:val="32"/>
                <w:szCs w:val="32"/>
                <w:bdr w:val="none" w:color="auto" w:sz="0" w:space="0"/>
                <w:lang w:val="en-US"/>
              </w:rPr>
              <w:t>466</w:t>
            </w:r>
          </w:p>
        </w:tc>
      </w:tr>
      <w:tr w14:paraId="380EB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3F8024">
            <w:pPr>
              <w:jc w:val="center"/>
              <w:rPr>
                <w:rFonts w:hint="eastAsia" w:ascii="楷体_GB2312" w:eastAsia="楷体_GB2312" w:cs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_GB2312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E55EFBA">
            <w:pPr>
              <w:spacing w:line="0" w:lineRule="atLeast"/>
              <w:jc w:val="left"/>
              <w:rPr>
                <w:rFonts w:hint="eastAsia" w:ascii="楷体_GB2312" w:eastAsia="楷体_GB2312" w:cs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_GB2312" w:eastAsia="楷体_GB2312" w:cs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  <w:t>常州市天宁区青龙中心幼儿园.公益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F44C54">
            <w:pPr>
              <w:jc w:val="center"/>
              <w:rPr>
                <w:rFonts w:hint="eastAsia" w:ascii="楷体_GB2312" w:eastAsia="楷体_GB2312" w:cs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_GB2312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center"/>
          </w:tcPr>
          <w:p w14:paraId="2F9C4DF7">
            <w:pPr>
              <w:spacing w:line="0" w:lineRule="atLeast"/>
              <w:jc w:val="left"/>
              <w:rPr>
                <w:rFonts w:hint="eastAsia" w:ascii="楷体_GB2312" w:eastAsia="楷体_GB2312" w:cs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Style w:val="18"/>
                <w:sz w:val="32"/>
                <w:szCs w:val="24"/>
                <w:bdr w:val="none" w:color="auto" w:sz="0" w:space="0"/>
                <w:lang w:val="en-US"/>
              </w:rPr>
              <w:t>136</w:t>
            </w:r>
          </w:p>
        </w:tc>
      </w:tr>
      <w:tr w14:paraId="11A62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AEDEED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对《条</w:t>
            </w:r>
          </w:p>
          <w:p w14:paraId="7BB61B85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例》和</w:t>
            </w:r>
          </w:p>
          <w:p w14:paraId="1C9C4F18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实施细</w:t>
            </w:r>
          </w:p>
          <w:p w14:paraId="59DBA674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则有关</w:t>
            </w:r>
          </w:p>
          <w:p w14:paraId="11984E29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变更登</w:t>
            </w:r>
          </w:p>
          <w:p w14:paraId="3098E3ED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记规定</w:t>
            </w:r>
          </w:p>
          <w:p w14:paraId="05F9773D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的执行</w:t>
            </w:r>
          </w:p>
          <w:p w14:paraId="293AB4D9">
            <w:pPr>
              <w:jc w:val="center"/>
              <w:rPr>
                <w:rFonts w:eastAsia="楷体_GB2312"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情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  <w:t xml:space="preserve"> 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16C5A8F4">
            <w:pPr>
              <w:spacing w:line="320" w:lineRule="exact"/>
              <w:rPr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无</w:t>
            </w:r>
          </w:p>
        </w:tc>
      </w:tr>
      <w:tr w14:paraId="7B58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/>
            <w:vAlign w:val="center"/>
          </w:tcPr>
          <w:p w14:paraId="15B151D8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开</w:t>
            </w:r>
          </w:p>
          <w:p w14:paraId="7EB16403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展</w:t>
            </w:r>
          </w:p>
          <w:p w14:paraId="6342EE54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业</w:t>
            </w:r>
          </w:p>
          <w:p w14:paraId="3C436F7A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务</w:t>
            </w:r>
          </w:p>
          <w:p w14:paraId="21DE762E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活</w:t>
            </w:r>
          </w:p>
          <w:p w14:paraId="1EBDE48E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动</w:t>
            </w:r>
          </w:p>
          <w:p w14:paraId="0049399B">
            <w:pPr>
              <w:jc w:val="center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情</w:t>
            </w:r>
          </w:p>
          <w:p w14:paraId="70F56ED4">
            <w:pPr>
              <w:jc w:val="center"/>
              <w:rPr>
                <w:u w:val="single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/>
            <w:vAlign w:val="top"/>
          </w:tcPr>
          <w:p w14:paraId="79C54A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  <w:t>我园现有27个班级，幼儿1567名。2017年，青龙中心幼儿园迎来了新的挑战??江苏省课程游戏化项目建设园。站在新的起点上，我们开始了从理念到实践、从模仿到拓展的转变。在教研、管理、环境上求变，携手迈向更好的自己。 一、学习之变：“让眼睛看得更远” 1.法规学习：变“能自律”到“立德能” 依法办园是教育发展的时代要求，也是幼儿园发展的需要。在办园过程中始终坚持依法办园、以德立人的思想，我们组织教师认真研读《</w:t>
            </w: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 w:eastAsia="zh-CN"/>
              </w:rPr>
              <w:t>中华人民共和国</w:t>
            </w: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  <w:t>教育法》、《</w:t>
            </w: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 w:eastAsia="zh-CN"/>
              </w:rPr>
              <w:t>中华人民共和国</w:t>
            </w: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  <w:t xml:space="preserve">教师法》等教育法律法规，做到心中有法，依法办事，廉洁自律。只有加强学习，拓展思维，提高自身思想素养和业务素质，才能更好地承担责任。 2.业务学习：变“碎片化”到“多元化” 作为课程游戏化项目园，业务学习需要更加多元、深入。本学期我们解读了《指南》健康领域的目标与内容，知道身体素质是运动的核心。《解读指南》这本书中提出：“同一动作改变运动方式，则可以发展不同的身体素质”，如跑这一动作，负重跑是发展力量、绕障碍跑是发展协调能力、倒退跑是发展平衡能力。其次，我们学习了《0-8岁儿童环境创设》中“户外活动”这一篇章，了解到户外活动对于幼儿发展的多元性。 二、管理之变：“带着老师共成长” 1.管理理念：变“不放心”到“放手做” 青幼面临着师资年轻化、师资队伍专业水平亟待提升等状况。放手，不断发现、挖掘、发扬教师的不同特长，让每位教师找到体现自身价值的平台，是我园做出的大胆决定和尝试。陶露和谢丹两位老师擅于捕捉学习契机，依托年级组研讨，群策群力，生成了班本课程“鸟和鸟巢”，获区园本主题课程建构评比活动一等奖；陈涛和尹敏老师原创的大班户外体育游戏“奔跑吧，宝贝”获区幼儿园户外体育活动案例评比一等奖；李佳、胡迪老师参加区教玩具比赛获二等奖并入围市教玩具比赛；胡迪、高小芬、谢丹、范梦静、李佳等多位教师撰写的论文获省、市、区一、二等奖。“信启智”课程一直是青幼的特色，以自愿申请的形式成立了信息技术教研组。在得到园方的认可和信任后，组员们深受鼓舞，激发了自我提高专业水平的内驱力，一起探索信息技术与幼儿园课程的有机融合。9月信息技术教研组荣获区“优秀教研组”称号；12月省级课题《信息技术与幼儿园“游戏课程化”结合研究》获省优秀教科研成果一等奖；李佳老师执教的大班美术活动《橙子变变变》获区信息化教学比赛一等奖；陶露老师执教的大班综合活动《点点和多米的信》获区信息化教学比赛二等奖；在青幼，对工作要求尽善尽美的老师还有很多，他们各展所长，成为一道独特的风景。 2.管理方式：变“指导你”到“共成长” 管理不是行政人员的高高在上、指指点点，而是携手共进、陪伴成长。每日进班，为游戏把脉：以园长和年级组长为引领，采取蹲点观摩与随机巡查相结合的方式，帮助教师走进孩子的游戏世界，了解孩子的游戏需求。定制服务，求管理实效：环境是幼儿园最直观的课程，也是老师最头疼的部分。以往的环境创设总是“一二三四”地谈几点理念、说几点建议，但效果并不理想。为此，我们为老师提供了“定制”服务，一对一的交流更具实用性和操作性。“定制”服务的意义不仅仅是“我来帮助你“，更是“我们共同改变”。 3.管理过程：变“老样子”到“求创新” 在课程游戏化的实施过程中，我们发现：为了更好的保障教研及课程的有效实施，需要改革和创新管理过程，即管理与教研同行。一是进一步完善一日活动巡查制，实行年级组、行政分层巡查，并将巡查结果实行月报反馈。二是针对教师采取组内、行政考核相结合的方式；成长型教师以推门课和精品课为依据进行考核。三是每月检查台账完成效果，包括年级组例会记录、听评课记录、观察记录、备课记录、培训心得等。 三、环境之变：“时刻牢记以孩子的发展为主” 环境，是一条流动着的风景线。无论是教室环境的布置、廊道角落的创意利用，还是户外游戏环境的创设，我们都坚持??“打造环境时要时刻牢记以孩子的发展为主”、“布置上要讲究简约化”、“呈现孩子的作品更能打造出好环境”、“支持孩子的发展与减轻教师负担并不矛盾”......大刀阔斧式的环境改革、细致入微的指导建议，青幼的环境一直在发展着、改变着。 1.班级环境：变“被打造”为“大家创” 班级是孩子们的天地，设计与布置班级区域环境应以幼儿为主体，充分满足幼儿探究发现的需求。为了让班级环境更接地气，聆听孩子的想法和建议至关重要。一变空间布局：重新归置床铺，给幼儿留下更多的活动空间；充分利用钢琴背面空间，做成精致的小舞台；收放自如的区域创设在中间，方便调整。二变材料投放：材料存放区域，将收集来的材料进行分类整理，便于幼儿游戏中随时拿取，保证互动的持久性；周期性地提供材料，材料仍然存在，但不每天提供，保持材料的吸引力。 2.走廊环境：变“做出来”为“活起来” 环境若是“做出来”的，则会出现走马观花、无人问津的游戏场面。若环境“活起来”，则出现下马看花、门庭若市的游戏场景。在走廊环境的创设上，教师充分放权，让幼儿深入参与。问卷调查，看见幼儿的兴趣需求，统计出幼儿最感兴趣的活动内容。设计规划图，精准把握幼儿的创设思路。目前，根据幼儿生活经验、城市地方特色、园所信息化特色，共同创设了《娃娃菜场》、《娃娃影楼》、《常州双桂坊》、《银河湾大脑城》等游戏情境。除固定区域外，允许幼儿按需设区，幼儿需要时去材料超市自取材料搭建游戏场景，不需要时则存放材料超市，以此动态满足幼儿的临时性游戏需求。 欣喜之余，我们更多的是思考：如何增强教师的课程意识，提升教师对课程的规划设计和组织实施能力？如何不断完善幼儿园课程游戏化体系，提升办园品质？我园将依托园本教研，扎实教师观察记录，以观察为载体将课程理念转化为“基于儿童”的实践，落实“尊重、理解和支持儿童”的专业行为。同时依托省市级培训平台、专家资源等，提升课程游戏化实施水平，逐步理清、完善幼儿园课程体系。 一切的改变都会使人产生抗拒感、不适感；但一切的改变又会带来新奇感、成就感。老师们对于“改变”，从谈之色变到从容面对，从敬而远之到主动参与，携手迈向更好的自己。 </w:t>
            </w:r>
          </w:p>
          <w:p w14:paraId="0BEED3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</w:pPr>
          </w:p>
        </w:tc>
      </w:tr>
      <w:tr w14:paraId="49FE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84DDD2A">
            <w:pP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11A6B93C">
            <w:pPr>
              <w:spacing w:line="320" w:lineRule="exact"/>
              <w:rPr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4"/>
                <w:bdr w:val="none" w:color="auto" w:sz="0" w:space="0"/>
                <w:lang w:val="en-US"/>
              </w:rPr>
              <w:t>无</w:t>
            </w:r>
          </w:p>
        </w:tc>
      </w:tr>
      <w:tr w14:paraId="0B3CE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E6EB70D">
            <w:pPr>
              <w:spacing w:line="0" w:lineRule="atLeast"/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绩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</w:rPr>
              <w:t xml:space="preserve">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效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</w:rPr>
              <w:t xml:space="preserve">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  <w:t xml:space="preserve">   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/>
            <w:vAlign w:val="top"/>
          </w:tcPr>
          <w:p w14:paraId="389C76F0">
            <w:pPr>
              <w:jc w:val="left"/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无</w:t>
            </w:r>
          </w:p>
        </w:tc>
      </w:tr>
      <w:tr w14:paraId="7D31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/>
            <w:vAlign w:val="center"/>
          </w:tcPr>
          <w:p w14:paraId="7A5C4552">
            <w:pPr>
              <w:spacing w:line="0" w:lineRule="atLeast"/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接受捐赠</w:t>
            </w:r>
          </w:p>
          <w:p w14:paraId="5345B500">
            <w:pPr>
              <w:spacing w:line="0" w:lineRule="atLeast"/>
            </w:pP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资助及使用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</w:rPr>
              <w:t xml:space="preserve">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情</w:t>
            </w:r>
            <w:r>
              <w:rPr>
                <w:rFonts w:eastAsia="楷体_GB2312"/>
                <w:b/>
                <w:bCs/>
                <w:sz w:val="32"/>
                <w:szCs w:val="24"/>
                <w:bdr w:val="none" w:color="auto" w:sz="0" w:space="0"/>
              </w:rPr>
              <w:t xml:space="preserve"> </w:t>
            </w:r>
            <w:r>
              <w:rPr>
                <w:rFonts w:hint="eastAsia" w:ascii="Times New Roman" w:eastAsia="楷体_GB2312" w:cs="楷体_GB2312"/>
                <w:b/>
                <w:bCs/>
                <w:sz w:val="32"/>
                <w:szCs w:val="24"/>
                <w:bdr w:val="none" w:color="auto" w:sz="0" w:space="0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/>
            <w:vAlign w:val="top"/>
          </w:tcPr>
          <w:p w14:paraId="679F011F">
            <w:pPr>
              <w:jc w:val="left"/>
            </w:pPr>
            <w:r>
              <w:rPr>
                <w:rStyle w:val="19"/>
                <w:rFonts w:hint="eastAsia" w:ascii="楷体_GB2312" w:eastAsia="楷体_GB2312" w:cs="楷体_GB2312"/>
                <w:sz w:val="28"/>
                <w:szCs w:val="28"/>
                <w:bdr w:val="none" w:color="auto" w:sz="0" w:space="0"/>
                <w:lang w:val="en-US"/>
              </w:rPr>
              <w:t>无</w:t>
            </w:r>
          </w:p>
        </w:tc>
      </w:tr>
    </w:tbl>
    <w:p w14:paraId="49DD47BB">
      <w:pPr>
        <w:jc w:val="left"/>
        <w:rPr>
          <w:rFonts w:hint="eastAsia" w:ascii="楷体_GB2312" w:eastAsia="楷体_GB2312" w:cs="楷体_GB2312"/>
          <w:b/>
          <w:bCs/>
          <w:sz w:val="28"/>
          <w:szCs w:val="28"/>
          <w:lang w:val="en-US"/>
        </w:rPr>
      </w:pPr>
      <w:r>
        <w:rPr>
          <w:rFonts w:hint="eastAsia" w:ascii="楷体_GB2312" w:eastAsia="楷体_GB2312" w:cs="楷体_GB2312"/>
          <w:b/>
          <w:bCs/>
          <w:sz w:val="28"/>
          <w:szCs w:val="28"/>
          <w:lang w:eastAsia="zh-CN"/>
        </w:rPr>
        <w:t xml:space="preserve">填表人： </w:t>
      </w:r>
      <w:r>
        <w:rPr>
          <w:rStyle w:val="18"/>
          <w:rFonts w:hint="eastAsia" w:ascii="楷体_GB2312" w:eastAsia="楷体_GB2312" w:cs="楷体_GB2312"/>
          <w:sz w:val="28"/>
          <w:szCs w:val="28"/>
          <w:lang w:val="en-US"/>
        </w:rPr>
        <w:t>沈丽娜</w:t>
      </w:r>
      <w:r>
        <w:rPr>
          <w:rFonts w:hint="eastAsia" w:ascii="楷体_GB2312" w:eastAsia="楷体_GB2312" w:cs="楷体_GB2312"/>
          <w:b/>
          <w:bCs/>
          <w:sz w:val="28"/>
          <w:szCs w:val="28"/>
          <w:lang w:val="en-US"/>
        </w:rPr>
        <w:t xml:space="preserve">  </w:t>
      </w:r>
      <w:r>
        <w:rPr>
          <w:rFonts w:hint="eastAsia" w:ascii="楷体_GB2312" w:eastAsia="楷体_GB2312" w:cs="楷体_GB2312"/>
          <w:b/>
          <w:bCs/>
          <w:sz w:val="28"/>
          <w:szCs w:val="28"/>
          <w:lang w:eastAsia="zh-CN"/>
        </w:rPr>
        <w:t>联系电话：</w:t>
      </w:r>
      <w:r>
        <w:rPr>
          <w:rStyle w:val="18"/>
          <w:rFonts w:hint="eastAsia" w:ascii="楷体_GB2312" w:eastAsia="楷体_GB2312" w:cs="楷体_GB2312"/>
          <w:sz w:val="28"/>
          <w:szCs w:val="28"/>
          <w:lang w:val="en-US"/>
        </w:rPr>
        <w:t xml:space="preserve">13861188441  </w:t>
      </w:r>
      <w:r>
        <w:rPr>
          <w:rFonts w:hint="eastAsia" w:ascii="楷体_GB2312" w:eastAsia="楷体_GB2312" w:cs="楷体_GB2312"/>
          <w:b/>
          <w:bCs/>
          <w:sz w:val="28"/>
          <w:szCs w:val="28"/>
          <w:lang w:eastAsia="zh-CN"/>
        </w:rPr>
        <w:t>报送日期：</w:t>
      </w:r>
      <w:r>
        <w:rPr>
          <w:rStyle w:val="18"/>
          <w:rFonts w:hint="eastAsia" w:ascii="楷体_GB2312" w:eastAsia="楷体_GB2312" w:cs="楷体_GB2312"/>
          <w:b/>
          <w:bCs/>
          <w:sz w:val="28"/>
          <w:szCs w:val="28"/>
          <w:lang w:val="en-US"/>
        </w:rPr>
        <w:t>2018年03月13日</w:t>
      </w:r>
    </w:p>
    <w:sectPr>
      <w:pgSz w:w="11906" w:h="16838"/>
      <w:pgMar w:top="1440" w:right="1135" w:bottom="1440" w:left="1135" w:header="851" w:footer="992" w:gutter="0"/>
      <w:paperSrc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footnotePr>
    <w:footnote w:id="0"/>
    <w:footnote w:id="1"/>
  </w:footnotePr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21EB6"/>
    <w:rsid w:val="782217F2"/>
    <w:rsid w:val="7CEF65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semiHidden/>
    <w:unhideWhenUsed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9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3">
    <w:name w:val="Default Paragraph Font"/>
    <w:semiHidden/>
    <w:unhideWhenUsed/>
    <w:uiPriority w:val="99"/>
  </w:style>
  <w:style w:type="table" w:default="1" w:styleId="12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7"/>
    <w:semiHidden/>
    <w:unhideWhenUsed/>
    <w:uiPriority w:val="99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2"/>
      <w:sz w:val="18"/>
      <w:szCs w:val="18"/>
      <w:lang w:val="en-US" w:eastAsia="zh-CN" w:bidi="ar"/>
    </w:rPr>
  </w:style>
  <w:style w:type="paragraph" w:styleId="9">
    <w:name w:val="header"/>
    <w:basedOn w:val="1"/>
    <w:link w:val="15"/>
    <w:semiHidden/>
    <w:unhideWhenUsed/>
    <w:uiPriority w:val="99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</w:pPr>
    <w:rPr>
      <w:rFonts w:hint="default" w:ascii="Times New Roman" w:hAnsi="Times New Roman" w:eastAsia="宋体" w:cs="Times New Roman"/>
      <w:kern w:val="2"/>
      <w:sz w:val="18"/>
      <w:szCs w:val="18"/>
      <w:lang w:val="en-US" w:eastAsia="zh-CN" w:bidi="ar"/>
    </w:rPr>
  </w:style>
  <w:style w:type="paragraph" w:styleId="10">
    <w:name w:val="HTML Preformatted"/>
    <w:basedOn w:val="1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semiHidden/>
    <w:unhideWhenUsed/>
    <w:uiPriority w:val="99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lang w:val="en-US" w:eastAsia="zh-CN" w:bidi="ar"/>
    </w:rPr>
  </w:style>
  <w:style w:type="character" w:customStyle="1" w:styleId="14">
    <w:name w:val="font21"/>
    <w:basedOn w:val="13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5">
    <w:name w:val="页眉 Char"/>
    <w:basedOn w:val="13"/>
    <w:link w:val="9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6">
    <w:name w:val="font51"/>
    <w:basedOn w:val="13"/>
    <w:uiPriority w:val="0"/>
    <w:rPr>
      <w:rFonts w:hint="eastAsia" w:ascii="黑体" w:hAnsi="宋体" w:eastAsia="黑体" w:cs="黑体"/>
      <w:sz w:val="36"/>
      <w:szCs w:val="24"/>
    </w:rPr>
  </w:style>
  <w:style w:type="character" w:customStyle="1" w:styleId="17">
    <w:name w:val="页脚 Char"/>
    <w:basedOn w:val="13"/>
    <w:link w:val="8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8">
    <w:name w:val="font61"/>
    <w:basedOn w:val="13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9">
    <w:name w:val="font71"/>
    <w:basedOn w:val="13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20">
    <w:name w:val="hps"/>
    <w:basedOn w:val="1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WwW.YlmF.CoM</Company>
  <Pages>8</Pages>
  <Words>2787</Words>
  <Characters>2854</Characters>
  <Lines>4</Lines>
  <Paragraphs>1</Paragraphs>
  <TotalTime>13</TotalTime>
  <ScaleCrop>false</ScaleCrop>
  <LinksUpToDate>false</LinksUpToDate>
  <CharactersWithSpaces>2911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丹丹</cp:lastModifiedBy>
  <dcterms:modified xsi:type="dcterms:W3CDTF">2025-09-18T01:52:16Z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eyJoZGlkIjoiYmNjMzdkZWU4YmZkZDFhYWM4N2Y5MjM0MmMyYzg3MmIiLCJ1c2VySWQiOiIxMDg3MzE0MzAzIn0=</vt:lpwstr>
  </property>
  <property fmtid="{D5CDD505-2E9C-101B-9397-08002B2CF9AE}" pid="3" name="KSOProductBuildVer">
    <vt:lpwstr>2052-12.1.0.22529</vt:lpwstr>
  </property>
  <property fmtid="{D5CDD505-2E9C-101B-9397-08002B2CF9AE}" pid="4" name="ICV">
    <vt:lpwstr>70005D4422074168904D6453FCD865D2_13</vt:lpwstr>
  </property>
</Properties>
</file>