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0E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郑陆镇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2025年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涉企行政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检查计划</w:t>
      </w:r>
    </w:p>
    <w:p w14:paraId="5CDE3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为深入贯彻落实党的二十大精神，统筹发展与安全，推进依法行政，优化营商环境，结合《中华人民共和国行政处罚法》《优化营商环境条例》及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市、区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关于规范涉企行政检查的工作要求，制定2025年度行政检查计划如下：</w:t>
      </w:r>
    </w:p>
    <w:p w14:paraId="1950F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一、指导思想</w:t>
      </w:r>
    </w:p>
    <w:p w14:paraId="49994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以习近平新时代中国特色社会主义思想为指导，全面贯彻落实党的二十大、党的二十届二中全会精神，坚持依法监管、公正高效、公开透明的原则，以“双随机、一公开”监管为基本手段、以重点监管为补充，优化行政检查方式，完善行政检查机制，规范行政检查行为，持续提高行政检查效能，为营造公平竞争的市场环境和良好的营商环境提供保障。</w:t>
      </w:r>
    </w:p>
    <w:p w14:paraId="4E85D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二、重点任务与季度安排</w:t>
      </w:r>
    </w:p>
    <w:p w14:paraId="24560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第一季度：安全生产领域</w:t>
      </w:r>
    </w:p>
    <w:p w14:paraId="3DC2E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重点内容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：</w:t>
      </w:r>
    </w:p>
    <w:p w14:paraId="4CD50F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1.对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烟花爆竹零售单位是零售资格及证照办理情况的检查；</w:t>
      </w:r>
    </w:p>
    <w:p w14:paraId="6944E2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2.对烟花爆竹零售单位烟花存贮情况的检查；</w:t>
      </w:r>
    </w:p>
    <w:p w14:paraId="1435FE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3.对烟花爆竹零售单位烟花规范销售情况的检查；</w:t>
      </w:r>
    </w:p>
    <w:p w14:paraId="54EEE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检查方式：平台线索转办为主，“双随机”为辅。</w:t>
      </w:r>
    </w:p>
    <w:p w14:paraId="52F3F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检查频次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原则上一季度不少于2次，可根据实际线索进行调整。</w:t>
      </w:r>
    </w:p>
    <w:p w14:paraId="04B6F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第二季度：水行政领域</w:t>
      </w:r>
    </w:p>
    <w:p w14:paraId="57022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重点内容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：</w:t>
      </w:r>
    </w:p>
    <w:p w14:paraId="71310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1.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用水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管理：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对是否按规定取水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、计量设施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是否正常安装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及节水设施使用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等情况的检查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；</w:t>
      </w:r>
    </w:p>
    <w:p w14:paraId="2DE3E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2.水土保持：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生产建设项目水土流失防治措施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是否规范到位等情况的检查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；</w:t>
      </w:r>
    </w:p>
    <w:p w14:paraId="42A54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3.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河道管理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对河道是否存在侵占、妨碍行洪等情况的检查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。</w:t>
      </w:r>
    </w:p>
    <w:p w14:paraId="6EC0C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检查方式：平台线索转办为主，“双随机”为辅。</w:t>
      </w:r>
    </w:p>
    <w:p w14:paraId="4CF17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检查频次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原则上一季度不少于2次，可根据实际线索进行调整。</w:t>
      </w:r>
    </w:p>
    <w:p w14:paraId="1CDAD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第三季度：农业畜牧领域</w:t>
      </w:r>
    </w:p>
    <w:p w14:paraId="3FE1D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重点内容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：</w:t>
      </w:r>
    </w:p>
    <w:p w14:paraId="6896C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1.兽药与饲料安全：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检查禁用药品使用、经营许可证及产品标签合规性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等情况的检查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；</w:t>
      </w:r>
    </w:p>
    <w:p w14:paraId="490DD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2.动物防疫：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免疫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、无害化处理及防疫条件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规范等情况的检查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；</w:t>
      </w:r>
    </w:p>
    <w:p w14:paraId="49006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3.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兽医管理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对兽医证照使用情况、处方开具情况的检查；</w:t>
      </w:r>
    </w:p>
    <w:p w14:paraId="6A928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4.生猪屠宰：对是否存在私屠乱宰、标志乱用等情况的检查。</w:t>
      </w:r>
    </w:p>
    <w:p w14:paraId="5ABF9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检查方式：平台线索转办为主，“双随机”为辅。</w:t>
      </w:r>
    </w:p>
    <w:p w14:paraId="057C8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检查频次：原则上一季度不少于2次，可根据实际线索进行调整。</w:t>
      </w:r>
    </w:p>
    <w:p w14:paraId="70088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第四季度：城市管理领域</w:t>
      </w:r>
    </w:p>
    <w:p w14:paraId="11B72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重点内容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：</w:t>
      </w:r>
    </w:p>
    <w:p w14:paraId="1C859A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市容环境：占道经营整治、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车辆带泥行驶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及广告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设置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合规性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等市容情况的检查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；</w:t>
      </w:r>
    </w:p>
    <w:p w14:paraId="176BD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物业管理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对物业公司是范管理情况、物业设施使用合法情况的检查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；</w:t>
      </w:r>
    </w:p>
    <w:p w14:paraId="0CDE0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3.规划管理：对企业建设规划许可、工地施工情况等内容的检查；</w:t>
      </w:r>
    </w:p>
    <w:p w14:paraId="20EC9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4.绿地管理：绿地停车情况及绿化保护情况；</w:t>
      </w:r>
    </w:p>
    <w:p w14:paraId="2C262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文化名城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对历史文化名城保护情况及古树保护情况的检查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。</w:t>
      </w:r>
    </w:p>
    <w:p w14:paraId="6EC02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检查方式：平台线索转办为主，“双随机”为辅。</w:t>
      </w:r>
    </w:p>
    <w:p w14:paraId="4410F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检查频次：原则上一季度不少于2次，可根据实际线索进行调整。</w:t>
      </w:r>
    </w:p>
    <w:p w14:paraId="446EF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三、工作要求</w:t>
      </w:r>
    </w:p>
    <w:p w14:paraId="43178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）规范执法行为</w:t>
      </w:r>
    </w:p>
    <w:p w14:paraId="34FF3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执法人员要严格按照法定程序和权限进行检查，做到持证上岗、亮证执法。检查过程中要认真填写检查记录，对发现的问题要依法下达整改通知书或行政处罚决定书，确保执法行为规范、公正、合法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检查计划按上级部门要求及时公开，接受社会监督。</w:t>
      </w:r>
    </w:p>
    <w:p w14:paraId="040D4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）强化跟踪监督</w:t>
      </w:r>
    </w:p>
    <w:p w14:paraId="006D1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进一步强化行政检查全流程监督，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配合开展好联合检查工作，在乡镇内，牵头或配合好环保、建设、农业等部门开展联合检查工作；在区级范围内，配合相关条线上级部门做好联合检查工作，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实现“进一次门，查多项事”，在严控行政检查频次的同时，主动对企业开展合规指导帮扶，助力企业健康发展。</w:t>
      </w:r>
    </w:p>
    <w:p w14:paraId="4DEFAF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（三）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其他情况</w:t>
      </w:r>
    </w:p>
    <w:p w14:paraId="6981CB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本计划中“涉企”内容包含个体户。原则上不再单独制定专项涉企检查计划，线索交办涉企检查时，严格按照市区各级关于涉企检查的要求执行，原则上年度内同一行政机关对同一检查对象实施行政检查不超过1次。根据投诉举报、转办交办、数据监测等线索确需实施行政检查，不受频次上限限制，但不得明显超过合理频次。年度涉企检查内容可根据实际情况进行动态调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876D4"/>
    <w:rsid w:val="29A54375"/>
    <w:rsid w:val="32965898"/>
    <w:rsid w:val="73331484"/>
    <w:rsid w:val="79E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1427</Words>
  <Characters>1448</Characters>
  <Lines>0</Lines>
  <Paragraphs>0</Paragraphs>
  <TotalTime>30</TotalTime>
  <ScaleCrop>false</ScaleCrop>
  <LinksUpToDate>false</LinksUpToDate>
  <CharactersWithSpaces>1448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2025-05-22T06:45:00Z</dcterms:created>
  <dc:creator>Administrator</dc:creator>
  <cp:lastModifiedBy>翔ing</cp:lastModifiedBy>
  <dcterms:modified xsi:type="dcterms:W3CDTF">2025-07-01T03:09:06Z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eyJoZGlkIjoiM2UzZTRhN2MwODhiNzFiMGJjYmUyMGFkMzhkOTdkZDgiLCJ1c2VySWQiOiIyMzYyNDI4NzgifQ==</vt:lpwstr>
  </property>
  <property fmtid="{D5CDD505-2E9C-101B-9397-08002B2CF9AE}" pid="4" name="ICV">
    <vt:lpwstr>0C288AD641B240FBB41F92835581EFB4_13</vt:lpwstr>
  </property>
</Properties>
</file>