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DCF98">
      <w:pPr>
        <w:spacing w:line="580" w:lineRule="exact"/>
        <w:ind w:firstLine="645"/>
        <w:jc w:val="center"/>
        <w:rPr>
          <w:rFonts w:ascii="仿宋_GB2312" w:hAnsi="宋体" w:eastAsia="仿宋_GB2312"/>
          <w:b/>
          <w:sz w:val="32"/>
          <w:szCs w:val="32"/>
        </w:rPr>
      </w:pPr>
    </w:p>
    <w:p w14:paraId="18074C3F">
      <w:pPr>
        <w:spacing w:line="580" w:lineRule="exact"/>
        <w:ind w:firstLine="645"/>
        <w:jc w:val="center"/>
        <w:rPr>
          <w:rFonts w:ascii="仿宋_GB2312" w:eastAsia="仿宋_GB2312"/>
          <w:b/>
          <w:color w:val="FF0000"/>
          <w:sz w:val="32"/>
          <w:szCs w:val="32"/>
        </w:rPr>
      </w:pPr>
      <w:r>
        <w:rPr>
          <w:rFonts w:hint="eastAsia" w:ascii="仿宋_GB2312" w:hAnsi="宋体" w:eastAsia="仿宋_GB2312"/>
          <w:b/>
          <w:sz w:val="32"/>
          <w:szCs w:val="32"/>
        </w:rPr>
        <w:t>常州市天宁区财政一体化软件升级改造</w:t>
      </w:r>
      <w:r>
        <w:rPr>
          <w:rFonts w:hint="eastAsia" w:ascii="仿宋_GB2312" w:hAnsi="楷体" w:eastAsia="仿宋_GB2312"/>
          <w:b/>
          <w:bCs/>
          <w:sz w:val="32"/>
          <w:szCs w:val="32"/>
        </w:rPr>
        <w:t>项目</w:t>
      </w:r>
      <w:r>
        <w:rPr>
          <w:rFonts w:hint="eastAsia" w:ascii="仿宋_GB2312" w:eastAsia="仿宋_GB2312"/>
          <w:b/>
          <w:sz w:val="32"/>
          <w:szCs w:val="32"/>
        </w:rPr>
        <w:t>谈判文件</w:t>
      </w:r>
    </w:p>
    <w:p w14:paraId="72A37A49">
      <w:pPr>
        <w:jc w:val="center"/>
        <w:rPr>
          <w:rFonts w:ascii="仿宋_GB2312" w:eastAsia="仿宋_GB2312"/>
          <w:b/>
          <w:sz w:val="30"/>
          <w:szCs w:val="30"/>
        </w:rPr>
      </w:pPr>
      <w:r>
        <w:rPr>
          <w:rFonts w:hint="eastAsia" w:ascii="仿宋_GB2312" w:eastAsia="仿宋_GB2312"/>
          <w:b/>
          <w:sz w:val="30"/>
          <w:szCs w:val="30"/>
        </w:rPr>
        <w:t xml:space="preserve">     </w:t>
      </w:r>
    </w:p>
    <w:p w14:paraId="16A56607">
      <w:pPr>
        <w:jc w:val="center"/>
        <w:rPr>
          <w:rFonts w:ascii="仿宋_GB2312" w:eastAsia="仿宋_GB2312"/>
          <w:b/>
          <w:sz w:val="30"/>
          <w:szCs w:val="30"/>
        </w:rPr>
      </w:pPr>
      <w:r>
        <w:rPr>
          <w:rFonts w:hint="eastAsia" w:ascii="仿宋_GB2312" w:eastAsia="仿宋_GB2312"/>
          <w:b/>
          <w:sz w:val="30"/>
          <w:szCs w:val="30"/>
        </w:rPr>
        <w:t>常天政采竞[2015]24号</w:t>
      </w:r>
    </w:p>
    <w:p w14:paraId="299B290A">
      <w:pPr>
        <w:jc w:val="center"/>
        <w:rPr>
          <w:rFonts w:ascii="仿宋_GB2312" w:hAnsi="Arial" w:eastAsia="仿宋_GB2312" w:cs="Arial"/>
          <w:szCs w:val="21"/>
        </w:rPr>
      </w:pPr>
    </w:p>
    <w:p w14:paraId="6317E5B6">
      <w:pPr>
        <w:jc w:val="center"/>
        <w:rPr>
          <w:rFonts w:ascii="仿宋_GB2312" w:hAnsi="Arial" w:eastAsia="仿宋_GB2312" w:cs="Arial"/>
          <w:szCs w:val="21"/>
        </w:rPr>
      </w:pPr>
    </w:p>
    <w:p w14:paraId="5463E4C6">
      <w:pPr>
        <w:jc w:val="center"/>
        <w:rPr>
          <w:rFonts w:ascii="仿宋_GB2312" w:hAnsi="Arial" w:eastAsia="仿宋_GB2312" w:cs="Arial"/>
          <w:szCs w:val="21"/>
        </w:rPr>
      </w:pPr>
    </w:p>
    <w:p w14:paraId="07A1F501">
      <w:pPr>
        <w:jc w:val="center"/>
        <w:rPr>
          <w:rFonts w:ascii="仿宋_GB2312" w:hAnsi="Arial" w:eastAsia="仿宋_GB2312" w:cs="Arial"/>
          <w:szCs w:val="21"/>
        </w:rPr>
      </w:pPr>
    </w:p>
    <w:p w14:paraId="3193E56E">
      <w:pPr>
        <w:jc w:val="center"/>
        <w:rPr>
          <w:rFonts w:ascii="仿宋_GB2312" w:hAnsi="Arial" w:eastAsia="仿宋_GB2312" w:cs="Arial"/>
          <w:szCs w:val="21"/>
        </w:rPr>
      </w:pPr>
    </w:p>
    <w:p w14:paraId="20A6CE89">
      <w:pPr>
        <w:jc w:val="center"/>
        <w:rPr>
          <w:rFonts w:ascii="仿宋_GB2312" w:hAnsi="Arial" w:eastAsia="仿宋_GB2312" w:cs="Arial"/>
          <w:szCs w:val="21"/>
        </w:rPr>
      </w:pPr>
    </w:p>
    <w:p w14:paraId="4C5F226D">
      <w:pPr>
        <w:jc w:val="center"/>
        <w:rPr>
          <w:rFonts w:ascii="仿宋_GB2312" w:hAnsi="Arial" w:eastAsia="仿宋_GB2312" w:cs="Arial"/>
          <w:szCs w:val="21"/>
        </w:rPr>
      </w:pPr>
    </w:p>
    <w:p w14:paraId="341E15E6">
      <w:pPr>
        <w:jc w:val="center"/>
        <w:rPr>
          <w:rFonts w:ascii="仿宋_GB2312" w:hAnsi="Arial" w:eastAsia="仿宋_GB2312" w:cs="Arial"/>
          <w:szCs w:val="21"/>
        </w:rPr>
      </w:pPr>
    </w:p>
    <w:p w14:paraId="1C962971">
      <w:pPr>
        <w:jc w:val="center"/>
        <w:rPr>
          <w:rFonts w:ascii="仿宋_GB2312" w:hAnsi="Arial" w:eastAsia="仿宋_GB2312" w:cs="Arial"/>
          <w:szCs w:val="21"/>
        </w:rPr>
      </w:pPr>
    </w:p>
    <w:p w14:paraId="1FEBA056">
      <w:pPr>
        <w:jc w:val="center"/>
        <w:rPr>
          <w:rFonts w:ascii="仿宋_GB2312" w:hAnsi="Arial" w:eastAsia="仿宋_GB2312" w:cs="Arial"/>
          <w:szCs w:val="21"/>
        </w:rPr>
      </w:pPr>
    </w:p>
    <w:p w14:paraId="32130DB9">
      <w:pPr>
        <w:jc w:val="center"/>
        <w:rPr>
          <w:rFonts w:ascii="仿宋_GB2312" w:hAnsi="Arial" w:eastAsia="仿宋_GB2312" w:cs="Arial"/>
          <w:szCs w:val="21"/>
        </w:rPr>
      </w:pPr>
    </w:p>
    <w:p w14:paraId="536C6876">
      <w:pPr>
        <w:jc w:val="center"/>
        <w:rPr>
          <w:rFonts w:ascii="仿宋_GB2312" w:hAnsi="Arial" w:eastAsia="仿宋_GB2312" w:cs="Arial"/>
          <w:szCs w:val="21"/>
        </w:rPr>
      </w:pPr>
    </w:p>
    <w:p w14:paraId="42B7DC3A">
      <w:pPr>
        <w:jc w:val="center"/>
        <w:rPr>
          <w:rFonts w:ascii="仿宋_GB2312" w:hAnsi="Arial" w:eastAsia="仿宋_GB2312" w:cs="Arial"/>
          <w:szCs w:val="21"/>
        </w:rPr>
      </w:pPr>
    </w:p>
    <w:p w14:paraId="00C4D550">
      <w:pPr>
        <w:jc w:val="center"/>
        <w:rPr>
          <w:rFonts w:ascii="仿宋_GB2312" w:hAnsi="Arial" w:eastAsia="仿宋_GB2312" w:cs="Arial"/>
          <w:szCs w:val="21"/>
        </w:rPr>
      </w:pPr>
    </w:p>
    <w:p w14:paraId="0A158FD6">
      <w:pPr>
        <w:jc w:val="center"/>
        <w:rPr>
          <w:rFonts w:ascii="仿宋_GB2312" w:hAnsi="Arial" w:eastAsia="仿宋_GB2312" w:cs="Arial"/>
          <w:szCs w:val="21"/>
        </w:rPr>
      </w:pPr>
    </w:p>
    <w:p w14:paraId="405EF144">
      <w:pPr>
        <w:jc w:val="center"/>
        <w:rPr>
          <w:rFonts w:ascii="仿宋_GB2312" w:hAnsi="Arial" w:eastAsia="仿宋_GB2312" w:cs="Arial"/>
          <w:szCs w:val="21"/>
        </w:rPr>
      </w:pPr>
    </w:p>
    <w:p w14:paraId="09285CCE">
      <w:pPr>
        <w:jc w:val="center"/>
        <w:rPr>
          <w:rFonts w:ascii="仿宋_GB2312" w:hAnsi="Arial" w:eastAsia="仿宋_GB2312" w:cs="Arial"/>
          <w:szCs w:val="21"/>
        </w:rPr>
      </w:pPr>
    </w:p>
    <w:p w14:paraId="2512F0A3">
      <w:pPr>
        <w:jc w:val="center"/>
        <w:rPr>
          <w:rFonts w:ascii="仿宋_GB2312" w:hAnsi="Arial" w:eastAsia="仿宋_GB2312" w:cs="Arial"/>
          <w:szCs w:val="21"/>
        </w:rPr>
      </w:pPr>
    </w:p>
    <w:p w14:paraId="27F584A2">
      <w:pPr>
        <w:jc w:val="center"/>
        <w:rPr>
          <w:rFonts w:ascii="仿宋_GB2312" w:hAnsi="Arial" w:eastAsia="仿宋_GB2312" w:cs="Arial"/>
          <w:szCs w:val="21"/>
        </w:rPr>
      </w:pPr>
    </w:p>
    <w:p w14:paraId="1B99748E">
      <w:pPr>
        <w:jc w:val="center"/>
        <w:rPr>
          <w:rFonts w:ascii="仿宋_GB2312" w:hAnsi="Arial" w:eastAsia="仿宋_GB2312" w:cs="Arial"/>
          <w:szCs w:val="21"/>
        </w:rPr>
      </w:pPr>
    </w:p>
    <w:p w14:paraId="5F783C08">
      <w:pPr>
        <w:rPr>
          <w:rFonts w:ascii="仿宋_GB2312" w:hAnsi="Arial" w:eastAsia="仿宋_GB2312" w:cs="Arial"/>
          <w:szCs w:val="21"/>
        </w:rPr>
      </w:pPr>
    </w:p>
    <w:p w14:paraId="3E5F2575">
      <w:pPr>
        <w:rPr>
          <w:rFonts w:ascii="仿宋_GB2312" w:hAnsi="Arial" w:eastAsia="仿宋_GB2312" w:cs="Arial"/>
          <w:szCs w:val="21"/>
        </w:rPr>
      </w:pPr>
    </w:p>
    <w:p w14:paraId="698721E9">
      <w:pPr>
        <w:rPr>
          <w:rFonts w:ascii="仿宋_GB2312" w:hAnsi="Arial" w:eastAsia="仿宋_GB2312" w:cs="Arial"/>
          <w:szCs w:val="21"/>
        </w:rPr>
      </w:pPr>
    </w:p>
    <w:p w14:paraId="3D4228B2">
      <w:pPr>
        <w:rPr>
          <w:rFonts w:ascii="仿宋_GB2312" w:hAnsi="Arial" w:eastAsia="仿宋_GB2312" w:cs="Arial"/>
          <w:szCs w:val="21"/>
        </w:rPr>
      </w:pPr>
    </w:p>
    <w:p w14:paraId="685B1A9B">
      <w:pPr>
        <w:ind w:firstLine="397"/>
        <w:jc w:val="center"/>
        <w:rPr>
          <w:rFonts w:ascii="仿宋_GB2312" w:eastAsia="仿宋_GB2312"/>
          <w:sz w:val="32"/>
          <w:szCs w:val="32"/>
        </w:rPr>
      </w:pPr>
      <w:r>
        <w:rPr>
          <w:rFonts w:hint="eastAsia" w:ascii="仿宋_GB2312" w:eastAsia="仿宋_GB2312"/>
          <w:sz w:val="32"/>
          <w:szCs w:val="32"/>
        </w:rPr>
        <w:t>采购人：</w:t>
      </w:r>
      <w:r>
        <w:rPr>
          <w:rFonts w:hint="eastAsia" w:ascii="仿宋_GB2312" w:hAnsi="宋体" w:eastAsia="仿宋_GB2312"/>
          <w:b/>
          <w:sz w:val="32"/>
          <w:szCs w:val="32"/>
        </w:rPr>
        <w:t>常州市天宁区财政局</w:t>
      </w:r>
    </w:p>
    <w:p w14:paraId="4BE07179">
      <w:pPr>
        <w:ind w:firstLine="397"/>
        <w:jc w:val="center"/>
        <w:rPr>
          <w:rFonts w:ascii="仿宋_GB2312" w:eastAsia="仿宋_GB2312"/>
          <w:sz w:val="32"/>
          <w:szCs w:val="32"/>
        </w:rPr>
      </w:pPr>
      <w:r>
        <w:rPr>
          <w:rFonts w:hint="eastAsia" w:ascii="仿宋_GB2312" w:eastAsia="仿宋_GB2312"/>
          <w:sz w:val="32"/>
          <w:szCs w:val="32"/>
        </w:rPr>
        <w:t>集中采购机构：常州市天宁区政府采购中心</w:t>
      </w:r>
    </w:p>
    <w:p w14:paraId="41BA8856">
      <w:pPr>
        <w:jc w:val="center"/>
        <w:rPr>
          <w:rFonts w:ascii="仿宋_GB2312" w:hAnsi="Arial" w:eastAsia="仿宋_GB2312" w:cs="Arial"/>
          <w:sz w:val="32"/>
          <w:szCs w:val="32"/>
        </w:rPr>
      </w:pPr>
      <w:r>
        <w:rPr>
          <w:rFonts w:hint="eastAsia" w:ascii="仿宋_GB2312" w:hAnsi="Arial" w:eastAsia="仿宋_GB2312" w:cs="Arial"/>
          <w:sz w:val="32"/>
          <w:szCs w:val="32"/>
        </w:rPr>
        <w:t>二0一五年十月</w:t>
      </w:r>
    </w:p>
    <w:p w14:paraId="793538F2">
      <w:pPr>
        <w:rPr>
          <w:rFonts w:ascii="仿宋_GB2312" w:hAnsi="Arial" w:eastAsia="仿宋_GB2312" w:cs="Arial"/>
          <w:szCs w:val="21"/>
        </w:rPr>
      </w:pPr>
    </w:p>
    <w:p w14:paraId="36791260">
      <w:pPr>
        <w:rPr>
          <w:rFonts w:ascii="仿宋_GB2312" w:hAnsi="Arial" w:eastAsia="仿宋_GB2312" w:cs="Arial"/>
          <w:szCs w:val="21"/>
        </w:rPr>
      </w:pPr>
    </w:p>
    <w:p w14:paraId="2720C8C3">
      <w:pPr>
        <w:rPr>
          <w:rFonts w:ascii="仿宋_GB2312" w:hAnsi="Arial" w:eastAsia="仿宋_GB2312" w:cs="Arial"/>
          <w:szCs w:val="21"/>
        </w:rPr>
      </w:pPr>
    </w:p>
    <w:p w14:paraId="49C2BC4D">
      <w:pPr>
        <w:rPr>
          <w:rFonts w:ascii="仿宋_GB2312" w:hAnsi="Arial" w:eastAsia="仿宋_GB2312" w:cs="Arial"/>
          <w:szCs w:val="21"/>
        </w:rPr>
      </w:pPr>
    </w:p>
    <w:p w14:paraId="74C4237F">
      <w:pPr>
        <w:rPr>
          <w:rFonts w:ascii="仿宋_GB2312" w:hAnsi="Arial" w:eastAsia="仿宋_GB2312" w:cs="Arial"/>
          <w:szCs w:val="21"/>
        </w:rPr>
      </w:pPr>
    </w:p>
    <w:p w14:paraId="4DCC34C4">
      <w:pPr>
        <w:rPr>
          <w:rFonts w:ascii="仿宋_GB2312" w:hAnsi="Arial" w:eastAsia="仿宋_GB2312" w:cs="Arial"/>
          <w:szCs w:val="21"/>
        </w:rPr>
      </w:pPr>
    </w:p>
    <w:p w14:paraId="448600CC">
      <w:pPr>
        <w:rPr>
          <w:rFonts w:ascii="仿宋_GB2312" w:hAnsi="Arial" w:eastAsia="仿宋_GB2312" w:cs="Arial"/>
          <w:szCs w:val="21"/>
        </w:rPr>
      </w:pPr>
    </w:p>
    <w:p w14:paraId="11DC1631">
      <w:pPr>
        <w:snapToGrid w:val="0"/>
        <w:ind w:firstLine="397"/>
        <w:jc w:val="center"/>
        <w:rPr>
          <w:rFonts w:ascii="仿宋_GB2312" w:eastAsia="仿宋_GB2312"/>
          <w:b/>
          <w:sz w:val="44"/>
          <w:szCs w:val="20"/>
        </w:rPr>
      </w:pPr>
      <w:r>
        <w:rPr>
          <w:rFonts w:hint="eastAsia" w:ascii="仿宋_GB2312" w:eastAsia="仿宋_GB2312"/>
          <w:b/>
          <w:sz w:val="44"/>
        </w:rPr>
        <w:t>目            录</w:t>
      </w:r>
    </w:p>
    <w:p w14:paraId="0388DD16">
      <w:pPr>
        <w:snapToGrid w:val="0"/>
        <w:ind w:firstLine="397"/>
        <w:rPr>
          <w:rFonts w:ascii="仿宋_GB2312" w:eastAsia="仿宋_GB2312"/>
          <w:sz w:val="24"/>
          <w:szCs w:val="20"/>
        </w:rPr>
      </w:pPr>
      <w:r>
        <w:rPr>
          <w:rFonts w:hint="eastAsia" w:ascii="仿宋_GB2312" w:eastAsia="仿宋_GB2312"/>
          <w:sz w:val="24"/>
        </w:rPr>
        <w:t> </w:t>
      </w:r>
    </w:p>
    <w:p w14:paraId="180303AC">
      <w:pPr>
        <w:adjustRightInd w:val="0"/>
        <w:snapToGrid w:val="0"/>
        <w:spacing w:line="480" w:lineRule="auto"/>
        <w:ind w:firstLine="640" w:firstLineChars="200"/>
        <w:rPr>
          <w:rFonts w:ascii="仿宋_GB2312" w:eastAsia="仿宋_GB2312"/>
          <w:sz w:val="32"/>
          <w:szCs w:val="20"/>
        </w:rPr>
      </w:pPr>
      <w:r>
        <w:rPr>
          <w:rFonts w:hint="eastAsia" w:ascii="仿宋_GB2312" w:eastAsia="仿宋_GB2312"/>
          <w:sz w:val="32"/>
        </w:rPr>
        <w:t> </w:t>
      </w:r>
    </w:p>
    <w:p w14:paraId="0A7F1E8B">
      <w:pPr>
        <w:adjustRightInd w:val="0"/>
        <w:snapToGrid w:val="0"/>
        <w:spacing w:line="480" w:lineRule="auto"/>
        <w:ind w:firstLine="640" w:firstLineChars="200"/>
        <w:rPr>
          <w:rFonts w:ascii="仿宋_GB2312" w:eastAsia="仿宋_GB2312"/>
          <w:sz w:val="32"/>
        </w:rPr>
      </w:pPr>
      <w:r>
        <w:rPr>
          <w:rFonts w:hint="eastAsia" w:ascii="仿宋_GB2312" w:eastAsia="仿宋_GB2312"/>
          <w:sz w:val="32"/>
        </w:rPr>
        <w:t>1、第一章    竞标公告</w:t>
      </w:r>
    </w:p>
    <w:p w14:paraId="3DDC6D4F">
      <w:pPr>
        <w:adjustRightInd w:val="0"/>
        <w:snapToGrid w:val="0"/>
        <w:spacing w:line="480" w:lineRule="auto"/>
        <w:ind w:firstLine="640" w:firstLineChars="200"/>
        <w:rPr>
          <w:rFonts w:ascii="仿宋_GB2312" w:eastAsia="仿宋_GB2312"/>
          <w:sz w:val="32"/>
          <w:szCs w:val="20"/>
        </w:rPr>
      </w:pPr>
      <w:r>
        <w:rPr>
          <w:rFonts w:hint="eastAsia" w:ascii="仿宋_GB2312" w:eastAsia="仿宋_GB2312"/>
          <w:sz w:val="32"/>
        </w:rPr>
        <w:t>2、第二章    总则</w:t>
      </w:r>
    </w:p>
    <w:p w14:paraId="1150A233">
      <w:pPr>
        <w:adjustRightInd w:val="0"/>
        <w:snapToGrid w:val="0"/>
        <w:spacing w:line="480" w:lineRule="auto"/>
        <w:ind w:firstLine="640" w:firstLineChars="200"/>
        <w:rPr>
          <w:rFonts w:ascii="仿宋_GB2312" w:eastAsia="仿宋_GB2312"/>
          <w:sz w:val="32"/>
          <w:szCs w:val="20"/>
        </w:rPr>
      </w:pPr>
      <w:r>
        <w:rPr>
          <w:rFonts w:hint="eastAsia" w:ascii="仿宋_GB2312" w:eastAsia="仿宋_GB2312"/>
          <w:sz w:val="32"/>
        </w:rPr>
        <w:t>3、第三章    投标文件</w:t>
      </w:r>
    </w:p>
    <w:p w14:paraId="329A4D2D">
      <w:pPr>
        <w:adjustRightInd w:val="0"/>
        <w:snapToGrid w:val="0"/>
        <w:spacing w:line="480" w:lineRule="auto"/>
        <w:ind w:firstLine="640" w:firstLineChars="200"/>
        <w:rPr>
          <w:rFonts w:ascii="仿宋_GB2312" w:eastAsia="仿宋_GB2312"/>
          <w:sz w:val="32"/>
          <w:szCs w:val="20"/>
        </w:rPr>
      </w:pPr>
      <w:r>
        <w:rPr>
          <w:rFonts w:hint="eastAsia" w:ascii="仿宋_GB2312" w:eastAsia="仿宋_GB2312"/>
          <w:sz w:val="32"/>
        </w:rPr>
        <w:t>4、第四章    投标文件密封和递交</w:t>
      </w:r>
    </w:p>
    <w:p w14:paraId="7116442C">
      <w:pPr>
        <w:adjustRightInd w:val="0"/>
        <w:snapToGrid w:val="0"/>
        <w:spacing w:line="480" w:lineRule="auto"/>
        <w:ind w:firstLine="640" w:firstLineChars="200"/>
        <w:rPr>
          <w:rFonts w:ascii="仿宋_GB2312" w:eastAsia="仿宋_GB2312"/>
          <w:sz w:val="32"/>
          <w:szCs w:val="20"/>
        </w:rPr>
      </w:pPr>
      <w:r>
        <w:rPr>
          <w:rFonts w:hint="eastAsia" w:ascii="仿宋_GB2312" w:eastAsia="仿宋_GB2312"/>
          <w:sz w:val="32"/>
        </w:rPr>
        <w:t>5、第五章    投标报价</w:t>
      </w:r>
    </w:p>
    <w:p w14:paraId="5EFDCC40">
      <w:pPr>
        <w:adjustRightInd w:val="0"/>
        <w:snapToGrid w:val="0"/>
        <w:spacing w:line="480" w:lineRule="auto"/>
        <w:ind w:firstLine="640" w:firstLineChars="200"/>
        <w:rPr>
          <w:rFonts w:ascii="仿宋_GB2312" w:eastAsia="仿宋_GB2312"/>
          <w:sz w:val="32"/>
          <w:szCs w:val="20"/>
        </w:rPr>
      </w:pPr>
      <w:r>
        <w:rPr>
          <w:rFonts w:hint="eastAsia" w:ascii="仿宋_GB2312" w:eastAsia="仿宋_GB2312"/>
          <w:sz w:val="32"/>
        </w:rPr>
        <w:t>6、第六章    开标、谈判、定标</w:t>
      </w:r>
    </w:p>
    <w:p w14:paraId="2224DFE9">
      <w:pPr>
        <w:adjustRightInd w:val="0"/>
        <w:snapToGrid w:val="0"/>
        <w:spacing w:line="480" w:lineRule="auto"/>
        <w:ind w:firstLine="640" w:firstLineChars="200"/>
        <w:rPr>
          <w:rFonts w:ascii="仿宋_GB2312" w:eastAsia="仿宋_GB2312"/>
          <w:sz w:val="32"/>
          <w:szCs w:val="20"/>
        </w:rPr>
      </w:pPr>
      <w:r>
        <w:rPr>
          <w:rFonts w:hint="eastAsia" w:ascii="仿宋_GB2312" w:eastAsia="仿宋_GB2312"/>
          <w:sz w:val="32"/>
        </w:rPr>
        <w:t>7、授权委托书</w:t>
      </w:r>
    </w:p>
    <w:p w14:paraId="3011BE1F">
      <w:pPr>
        <w:adjustRightInd w:val="0"/>
        <w:snapToGrid w:val="0"/>
        <w:spacing w:line="480" w:lineRule="auto"/>
        <w:ind w:firstLine="640" w:firstLineChars="200"/>
        <w:rPr>
          <w:rFonts w:ascii="仿宋_GB2312" w:eastAsia="仿宋_GB2312"/>
          <w:sz w:val="32"/>
          <w:szCs w:val="20"/>
        </w:rPr>
      </w:pPr>
      <w:r>
        <w:rPr>
          <w:rFonts w:hint="eastAsia" w:ascii="仿宋_GB2312" w:eastAsia="仿宋_GB2312"/>
          <w:sz w:val="32"/>
        </w:rPr>
        <w:t>8、投标人声明函</w:t>
      </w:r>
    </w:p>
    <w:p w14:paraId="17EC1C72">
      <w:pPr>
        <w:adjustRightInd w:val="0"/>
        <w:snapToGrid w:val="0"/>
        <w:spacing w:line="360" w:lineRule="auto"/>
        <w:ind w:firstLine="640" w:firstLineChars="200"/>
        <w:rPr>
          <w:rFonts w:ascii="仿宋_GB2312" w:eastAsia="仿宋_GB2312"/>
          <w:sz w:val="32"/>
          <w:szCs w:val="20"/>
        </w:rPr>
      </w:pPr>
      <w:r>
        <w:rPr>
          <w:rFonts w:hint="eastAsia" w:ascii="仿宋_GB2312" w:eastAsia="仿宋_GB2312"/>
          <w:sz w:val="32"/>
        </w:rPr>
        <w:t>9、表式</w:t>
      </w:r>
    </w:p>
    <w:p w14:paraId="24032326">
      <w:pPr>
        <w:snapToGrid w:val="0"/>
        <w:spacing w:line="360" w:lineRule="auto"/>
        <w:ind w:left="1260"/>
        <w:rPr>
          <w:rFonts w:ascii="仿宋_GB2312" w:hAnsi="宋体" w:eastAsia="仿宋_GB2312"/>
          <w:bCs/>
          <w:sz w:val="24"/>
        </w:rPr>
      </w:pPr>
      <w:r>
        <w:rPr>
          <w:rFonts w:hint="eastAsia" w:ascii="仿宋_GB2312" w:hAnsi="Wingdings" w:eastAsia="仿宋_GB2312" w:cs="Wingdings"/>
          <w:bCs/>
          <w:sz w:val="24"/>
        </w:rPr>
        <w:t></w:t>
      </w:r>
      <w:r>
        <w:rPr>
          <w:rFonts w:hint="eastAsia" w:ascii="仿宋_GB2312" w:eastAsia="仿宋_GB2312"/>
          <w:bCs/>
          <w:sz w:val="14"/>
          <w:szCs w:val="14"/>
        </w:rPr>
        <w:t>       </w:t>
      </w:r>
      <w:r>
        <w:rPr>
          <w:rFonts w:hint="eastAsia" w:ascii="仿宋_GB2312" w:hAnsi="宋体" w:eastAsia="仿宋_GB2312"/>
          <w:bCs/>
          <w:sz w:val="24"/>
        </w:rPr>
        <w:t>开标一览表</w:t>
      </w:r>
    </w:p>
    <w:p w14:paraId="07262379">
      <w:pPr>
        <w:snapToGrid w:val="0"/>
        <w:spacing w:line="360" w:lineRule="auto"/>
        <w:ind w:left="1260" w:leftChars="600" w:firstLine="600" w:firstLineChars="250"/>
        <w:rPr>
          <w:rFonts w:ascii="仿宋_GB2312" w:hAnsi="宋体" w:eastAsia="仿宋_GB2312"/>
          <w:bCs/>
          <w:sz w:val="24"/>
        </w:rPr>
      </w:pPr>
      <w:r>
        <w:rPr>
          <w:rFonts w:hint="eastAsia" w:ascii="仿宋_GB2312" w:hAnsi="宋体" w:eastAsia="仿宋_GB2312"/>
          <w:bCs/>
          <w:sz w:val="24"/>
        </w:rPr>
        <w:t>分项报价表</w:t>
      </w:r>
    </w:p>
    <w:p w14:paraId="54533DCF">
      <w:pPr>
        <w:snapToGrid w:val="0"/>
        <w:spacing w:line="360" w:lineRule="auto"/>
        <w:ind w:left="1260"/>
        <w:rPr>
          <w:rFonts w:ascii="仿宋_GB2312" w:hAnsi="宋体" w:eastAsia="仿宋_GB2312"/>
          <w:sz w:val="24"/>
        </w:rPr>
      </w:pPr>
      <w:r>
        <w:rPr>
          <w:rFonts w:hint="eastAsia" w:ascii="仿宋_GB2312" w:hAnsi="Wingdings" w:eastAsia="仿宋_GB2312" w:cs="Wingdings"/>
          <w:bCs/>
          <w:sz w:val="24"/>
        </w:rPr>
        <w:t></w:t>
      </w:r>
      <w:r>
        <w:rPr>
          <w:rFonts w:hint="eastAsia" w:ascii="仿宋_GB2312" w:eastAsia="仿宋_GB2312"/>
          <w:bCs/>
          <w:sz w:val="14"/>
          <w:szCs w:val="14"/>
        </w:rPr>
        <w:t>       </w:t>
      </w:r>
      <w:r>
        <w:rPr>
          <w:rFonts w:hint="eastAsia" w:ascii="仿宋_GB2312" w:hAnsi="宋体" w:eastAsia="仿宋_GB2312"/>
          <w:sz w:val="24"/>
        </w:rPr>
        <w:t>拟参加本项目的管理和技术人员名单</w:t>
      </w:r>
    </w:p>
    <w:p w14:paraId="1256BAC4">
      <w:pPr>
        <w:snapToGrid w:val="0"/>
        <w:spacing w:line="360" w:lineRule="auto"/>
        <w:ind w:firstLine="630"/>
        <w:rPr>
          <w:rFonts w:ascii="仿宋_GB2312" w:hAnsi="宋体" w:eastAsia="仿宋_GB2312"/>
          <w:sz w:val="32"/>
          <w:szCs w:val="32"/>
        </w:rPr>
      </w:pPr>
      <w:r>
        <w:rPr>
          <w:rFonts w:hint="eastAsia" w:ascii="仿宋_GB2312" w:hAnsi="宋体" w:eastAsia="仿宋_GB2312"/>
          <w:sz w:val="32"/>
          <w:szCs w:val="32"/>
        </w:rPr>
        <w:t>10、售后服务承诺</w:t>
      </w:r>
    </w:p>
    <w:p w14:paraId="5BC203E0">
      <w:pPr>
        <w:snapToGrid w:val="0"/>
        <w:spacing w:line="360" w:lineRule="auto"/>
        <w:ind w:firstLine="630"/>
        <w:rPr>
          <w:rFonts w:ascii="仿宋_GB2312" w:hAnsi="宋体" w:eastAsia="仿宋_GB2312"/>
          <w:sz w:val="32"/>
          <w:szCs w:val="32"/>
        </w:rPr>
      </w:pPr>
      <w:r>
        <w:rPr>
          <w:rFonts w:hint="eastAsia" w:ascii="仿宋_GB2312" w:hAnsi="宋体" w:eastAsia="仿宋_GB2312"/>
          <w:sz w:val="32"/>
          <w:szCs w:val="32"/>
        </w:rPr>
        <w:t>11、合同样本</w:t>
      </w:r>
    </w:p>
    <w:p w14:paraId="16F2AAC7">
      <w:pPr>
        <w:snapToGrid w:val="0"/>
        <w:spacing w:line="360" w:lineRule="auto"/>
        <w:ind w:firstLine="630"/>
        <w:rPr>
          <w:rFonts w:ascii="仿宋_GB2312" w:hAnsi="华文仿宋" w:eastAsia="仿宋_GB2312"/>
          <w:bCs/>
          <w:sz w:val="32"/>
          <w:szCs w:val="32"/>
        </w:rPr>
      </w:pPr>
      <w:r>
        <w:rPr>
          <w:rFonts w:hint="eastAsia" w:ascii="仿宋_GB2312" w:hAnsi="华文仿宋" w:eastAsia="仿宋_GB2312"/>
          <w:bCs/>
          <w:sz w:val="32"/>
          <w:szCs w:val="32"/>
        </w:rPr>
        <w:t>12、类似项目一览表</w:t>
      </w:r>
    </w:p>
    <w:p w14:paraId="15BBF40D">
      <w:pPr>
        <w:snapToGrid w:val="0"/>
        <w:spacing w:line="360" w:lineRule="auto"/>
        <w:ind w:firstLine="630"/>
        <w:rPr>
          <w:rFonts w:ascii="仿宋_GB2312" w:hAnsi="宋体" w:eastAsia="仿宋_GB2312"/>
          <w:bCs/>
          <w:sz w:val="32"/>
          <w:szCs w:val="32"/>
        </w:rPr>
      </w:pPr>
      <w:r>
        <w:rPr>
          <w:rFonts w:hint="eastAsia" w:ascii="仿宋_GB2312" w:hAnsi="宋体" w:eastAsia="仿宋_GB2312"/>
          <w:sz w:val="32"/>
          <w:szCs w:val="32"/>
        </w:rPr>
        <w:t>13、项目需求</w:t>
      </w:r>
    </w:p>
    <w:p w14:paraId="176A9796">
      <w:pPr>
        <w:adjustRightInd w:val="0"/>
        <w:snapToGrid w:val="0"/>
        <w:spacing w:line="480" w:lineRule="auto"/>
        <w:ind w:firstLine="640" w:firstLineChars="200"/>
        <w:rPr>
          <w:rFonts w:ascii="仿宋_GB2312" w:eastAsia="仿宋_GB2312"/>
          <w:sz w:val="32"/>
        </w:rPr>
      </w:pPr>
      <w:r>
        <w:rPr>
          <w:rFonts w:hint="eastAsia" w:ascii="仿宋_GB2312" w:eastAsia="仿宋_GB2312"/>
          <w:sz w:val="32"/>
        </w:rPr>
        <w:t> </w:t>
      </w:r>
    </w:p>
    <w:p w14:paraId="0C080464">
      <w:pPr>
        <w:adjustRightInd w:val="0"/>
        <w:snapToGrid w:val="0"/>
        <w:spacing w:line="480" w:lineRule="auto"/>
        <w:ind w:firstLine="640" w:firstLineChars="200"/>
        <w:rPr>
          <w:rFonts w:ascii="仿宋_GB2312" w:eastAsia="仿宋_GB2312"/>
          <w:sz w:val="32"/>
        </w:rPr>
      </w:pPr>
    </w:p>
    <w:p w14:paraId="21005B28">
      <w:pPr>
        <w:spacing w:line="360" w:lineRule="auto"/>
        <w:jc w:val="center"/>
        <w:rPr>
          <w:rFonts w:ascii="仿宋_GB2312" w:hAnsi="仿宋_GB2312" w:eastAsia="仿宋_GB2312"/>
          <w:b/>
          <w:sz w:val="32"/>
        </w:rPr>
      </w:pPr>
      <w:r>
        <w:rPr>
          <w:rFonts w:hint="eastAsia" w:ascii="仿宋_GB2312" w:hAnsi="仿宋_GB2312" w:eastAsia="仿宋_GB2312"/>
          <w:b/>
          <w:sz w:val="32"/>
        </w:rPr>
        <w:t>第一章  竞标公告</w:t>
      </w:r>
    </w:p>
    <w:p w14:paraId="3EE69AA2">
      <w:pPr>
        <w:widowControl/>
        <w:spacing w:before="100" w:beforeAutospacing="1" w:after="100" w:afterAutospacing="1"/>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常天政采竞[2015]24号</w:t>
      </w:r>
    </w:p>
    <w:p w14:paraId="5D6012B6">
      <w:pPr>
        <w:widowControl/>
        <w:spacing w:before="100" w:beforeAutospacing="1" w:after="100" w:afterAutospacing="1" w:line="360" w:lineRule="auto"/>
        <w:ind w:firstLine="425"/>
        <w:jc w:val="left"/>
        <w:rPr>
          <w:rFonts w:ascii="宋体" w:hAnsi="宋体" w:cs="宋体"/>
          <w:color w:val="000000"/>
          <w:kern w:val="0"/>
          <w:szCs w:val="21"/>
        </w:rPr>
      </w:pPr>
      <w:r>
        <w:rPr>
          <w:rFonts w:hint="eastAsia" w:ascii="宋体" w:hAnsi="宋体" w:cs="宋体"/>
          <w:color w:val="000000"/>
          <w:kern w:val="0"/>
          <w:sz w:val="24"/>
        </w:rPr>
        <w:t>常州市天宁区政府采购中心受常州市天宁区财政局的委托，就常州市天宁区财政一体化软件升级改造项目进行竞争性谈判采购，有关事项公告如下：</w:t>
      </w:r>
      <w:r>
        <w:rPr>
          <w:rFonts w:ascii="宋体" w:hAnsi="宋体" w:cs="宋体"/>
          <w:color w:val="000000"/>
          <w:kern w:val="0"/>
          <w:szCs w:val="21"/>
        </w:rPr>
        <w:t xml:space="preserve"> </w:t>
      </w:r>
    </w:p>
    <w:p w14:paraId="784A4002">
      <w:pPr>
        <w:widowControl/>
        <w:spacing w:before="100" w:beforeAutospacing="1" w:after="100" w:afterAutospacing="1" w:line="360" w:lineRule="auto"/>
        <w:ind w:firstLine="425"/>
        <w:jc w:val="left"/>
        <w:rPr>
          <w:rFonts w:ascii="宋体" w:hAnsi="宋体" w:cs="宋体"/>
          <w:color w:val="000000"/>
          <w:kern w:val="0"/>
          <w:szCs w:val="21"/>
        </w:rPr>
      </w:pPr>
      <w:r>
        <w:rPr>
          <w:rFonts w:hint="eastAsia" w:ascii="宋体" w:hAnsi="宋体" w:cs="宋体"/>
          <w:b/>
          <w:bCs/>
          <w:color w:val="000000"/>
          <w:kern w:val="0"/>
          <w:sz w:val="24"/>
        </w:rPr>
        <w:t>一、项目名称及编号：</w:t>
      </w:r>
      <w:r>
        <w:rPr>
          <w:rFonts w:ascii="宋体" w:hAnsi="宋体" w:cs="宋体"/>
          <w:color w:val="000000"/>
          <w:kern w:val="0"/>
          <w:szCs w:val="21"/>
        </w:rPr>
        <w:t xml:space="preserve"> </w:t>
      </w:r>
    </w:p>
    <w:p w14:paraId="60E5E87E">
      <w:pPr>
        <w:widowControl/>
        <w:spacing w:before="100" w:beforeAutospacing="1" w:after="100" w:afterAutospacing="1" w:line="360" w:lineRule="auto"/>
        <w:ind w:firstLine="425"/>
        <w:jc w:val="left"/>
        <w:rPr>
          <w:rFonts w:ascii="宋体" w:hAnsi="宋体" w:cs="宋体"/>
          <w:color w:val="000000"/>
          <w:kern w:val="0"/>
          <w:sz w:val="24"/>
        </w:rPr>
      </w:pPr>
      <w:r>
        <w:rPr>
          <w:rFonts w:hint="eastAsia" w:ascii="宋体" w:hAnsi="宋体" w:cs="宋体"/>
          <w:color w:val="000000"/>
          <w:kern w:val="0"/>
          <w:sz w:val="24"/>
        </w:rPr>
        <w:t>项目名称：常州市天宁区财政一体化软件升级改造项目</w:t>
      </w:r>
    </w:p>
    <w:p w14:paraId="45C7301F">
      <w:pPr>
        <w:widowControl/>
        <w:spacing w:before="100" w:beforeAutospacing="1" w:after="100" w:afterAutospacing="1" w:line="360" w:lineRule="auto"/>
        <w:ind w:firstLine="425"/>
        <w:jc w:val="left"/>
        <w:rPr>
          <w:rFonts w:ascii="宋体" w:hAnsi="宋体" w:cs="宋体"/>
          <w:color w:val="000000"/>
          <w:kern w:val="0"/>
          <w:szCs w:val="21"/>
        </w:rPr>
      </w:pPr>
      <w:r>
        <w:rPr>
          <w:rFonts w:hint="eastAsia" w:ascii="宋体" w:hAnsi="宋体" w:cs="宋体"/>
          <w:color w:val="000000"/>
          <w:kern w:val="0"/>
          <w:sz w:val="24"/>
        </w:rPr>
        <w:t>项目编号：常天政采竞</w:t>
      </w:r>
      <w:r>
        <w:rPr>
          <w:rFonts w:ascii="宋体" w:hAnsi="宋体" w:cs="宋体"/>
          <w:color w:val="000000"/>
          <w:kern w:val="0"/>
          <w:sz w:val="24"/>
        </w:rPr>
        <w:t>[2015]</w:t>
      </w:r>
      <w:r>
        <w:rPr>
          <w:rFonts w:hint="eastAsia" w:ascii="宋体" w:hAnsi="宋体" w:cs="宋体"/>
          <w:color w:val="000000"/>
          <w:kern w:val="0"/>
          <w:sz w:val="24"/>
        </w:rPr>
        <w:t>24号</w:t>
      </w:r>
    </w:p>
    <w:p w14:paraId="6961C47B">
      <w:pPr>
        <w:widowControl/>
        <w:tabs>
          <w:tab w:val="center" w:pos="3871"/>
        </w:tabs>
        <w:spacing w:before="100" w:beforeAutospacing="1" w:after="100" w:afterAutospacing="1" w:line="360" w:lineRule="auto"/>
        <w:ind w:firstLine="434"/>
        <w:jc w:val="left"/>
        <w:rPr>
          <w:rFonts w:ascii="宋体" w:hAnsi="宋体" w:cs="宋体"/>
          <w:color w:val="000000"/>
          <w:kern w:val="0"/>
          <w:szCs w:val="21"/>
        </w:rPr>
      </w:pPr>
      <w:r>
        <w:rPr>
          <w:rFonts w:hint="eastAsia" w:ascii="宋体" w:hAnsi="宋体" w:cs="宋体"/>
          <w:b/>
          <w:bCs/>
          <w:color w:val="000000"/>
          <w:kern w:val="0"/>
          <w:sz w:val="24"/>
        </w:rPr>
        <w:t>二、项目简要说明：</w:t>
      </w:r>
      <w:r>
        <w:rPr>
          <w:rFonts w:ascii="宋体" w:hAnsi="宋体" w:cs="宋体"/>
          <w:color w:val="000000"/>
          <w:kern w:val="0"/>
          <w:szCs w:val="21"/>
        </w:rPr>
        <w:t xml:space="preserve"> </w:t>
      </w:r>
      <w:r>
        <w:rPr>
          <w:rFonts w:ascii="宋体" w:hAnsi="宋体" w:cs="宋体"/>
          <w:color w:val="000000"/>
          <w:kern w:val="0"/>
          <w:szCs w:val="21"/>
        </w:rPr>
        <w:tab/>
      </w:r>
    </w:p>
    <w:p w14:paraId="7A7F3F08">
      <w:pPr>
        <w:ind w:firstLine="566" w:firstLineChars="236"/>
        <w:jc w:val="left"/>
        <w:rPr>
          <w:rFonts w:ascii="宋体" w:hAnsi="宋体" w:cs="宋体"/>
          <w:color w:val="000000"/>
          <w:kern w:val="0"/>
          <w:sz w:val="24"/>
        </w:rPr>
      </w:pPr>
      <w:r>
        <w:rPr>
          <w:rFonts w:hint="eastAsia" w:ascii="宋体" w:hAnsi="宋体" w:cs="宋体"/>
          <w:color w:val="000000"/>
          <w:kern w:val="0"/>
          <w:sz w:val="24"/>
        </w:rPr>
        <w:t>按照“金财工程”要求，通过构建财政一体化软件升级改造平台，逐步构建覆盖所有财政性资金、辐射各级财政部门和预算单位的财政一体化软件升级改造管理信息系统，从根本上解决财政内部各业务系统之间存在的流程分割、信息孤岛等问题，真正实现各业务系统之间的互通协作、无缝对接和数据共享，常州市天宁区财政局拟采购财政一体化软件升级改造项目，建设内容包括财政一体化软件升级改造平台、五大财政业务系统及相应的应用系统安全体系等。</w:t>
      </w:r>
    </w:p>
    <w:p w14:paraId="34F66FFB">
      <w:pPr>
        <w:ind w:firstLine="566" w:firstLineChars="236"/>
        <w:jc w:val="left"/>
        <w:rPr>
          <w:rFonts w:ascii="宋体" w:hAnsi="宋体" w:cs="宋体"/>
          <w:color w:val="000000"/>
          <w:kern w:val="0"/>
          <w:sz w:val="24"/>
        </w:rPr>
      </w:pPr>
      <w:r>
        <w:rPr>
          <w:rFonts w:hint="eastAsia" w:ascii="宋体" w:hAnsi="宋体" w:cs="宋体"/>
          <w:color w:val="000000"/>
          <w:kern w:val="0"/>
          <w:sz w:val="24"/>
        </w:rPr>
        <w:t>常州市天宁区财政局财政一体化软件升级改造项目实施,工期要求需确保本项目能在2016年1月1日前投入使用，并预留1个月的新旧系统并轨运行期。</w:t>
      </w:r>
    </w:p>
    <w:p w14:paraId="145F91DB">
      <w:pPr>
        <w:widowControl/>
        <w:spacing w:before="100" w:beforeAutospacing="1" w:after="100" w:afterAutospacing="1" w:line="360" w:lineRule="auto"/>
        <w:ind w:firstLine="426"/>
        <w:jc w:val="left"/>
        <w:rPr>
          <w:rFonts w:ascii="宋体" w:hAnsi="宋体" w:cs="宋体"/>
          <w:color w:val="000000"/>
          <w:kern w:val="0"/>
          <w:szCs w:val="21"/>
        </w:rPr>
      </w:pPr>
      <w:r>
        <w:rPr>
          <w:rFonts w:hint="eastAsia" w:ascii="宋体" w:hAnsi="宋体" w:cs="宋体"/>
          <w:b/>
          <w:bCs/>
          <w:color w:val="000000"/>
          <w:kern w:val="0"/>
          <w:sz w:val="24"/>
        </w:rPr>
        <w:t>三、投标人资格要求：</w:t>
      </w:r>
      <w:r>
        <w:rPr>
          <w:rFonts w:ascii="宋体" w:hAnsi="宋体" w:cs="宋体"/>
          <w:color w:val="000000"/>
          <w:kern w:val="0"/>
          <w:szCs w:val="21"/>
        </w:rPr>
        <w:t xml:space="preserve"> </w:t>
      </w:r>
    </w:p>
    <w:p w14:paraId="0CFDEEFC">
      <w:pPr>
        <w:widowControl/>
        <w:spacing w:before="100" w:beforeAutospacing="1" w:after="100" w:afterAutospacing="1" w:line="360" w:lineRule="auto"/>
        <w:ind w:firstLine="425"/>
        <w:jc w:val="left"/>
        <w:rPr>
          <w:rFonts w:ascii="宋体" w:hAnsi="宋体" w:cs="宋体"/>
          <w:color w:val="000000"/>
          <w:kern w:val="0"/>
          <w:szCs w:val="21"/>
        </w:rPr>
      </w:pPr>
      <w:r>
        <w:rPr>
          <w:rFonts w:ascii="宋体" w:hAnsi="宋体" w:cs="宋体"/>
          <w:color w:val="000000"/>
          <w:kern w:val="0"/>
          <w:sz w:val="24"/>
        </w:rPr>
        <w:t>1</w:t>
      </w:r>
      <w:r>
        <w:rPr>
          <w:rFonts w:hint="eastAsia" w:ascii="宋体" w:hAnsi="宋体" w:cs="宋体"/>
          <w:color w:val="000000"/>
          <w:kern w:val="0"/>
          <w:sz w:val="24"/>
        </w:rPr>
        <w:t>、投标人须符合《政府采购法》第二十二条规定；</w:t>
      </w:r>
      <w:r>
        <w:rPr>
          <w:rFonts w:ascii="宋体" w:hAnsi="宋体" w:cs="宋体"/>
          <w:color w:val="000000"/>
          <w:kern w:val="0"/>
          <w:szCs w:val="21"/>
        </w:rPr>
        <w:t xml:space="preserve"> </w:t>
      </w:r>
    </w:p>
    <w:p w14:paraId="22917674">
      <w:pPr>
        <w:widowControl/>
        <w:spacing w:before="100" w:beforeAutospacing="1" w:after="100" w:afterAutospacing="1" w:line="360" w:lineRule="auto"/>
        <w:ind w:firstLine="425"/>
        <w:jc w:val="left"/>
        <w:rPr>
          <w:rFonts w:ascii="宋体" w:hAnsi="宋体" w:cs="宋体"/>
          <w:color w:val="000000"/>
          <w:kern w:val="0"/>
          <w:szCs w:val="21"/>
        </w:rPr>
      </w:pPr>
      <w:r>
        <w:rPr>
          <w:rFonts w:ascii="宋体" w:hAnsi="宋体" w:cs="宋体"/>
          <w:color w:val="000000"/>
          <w:kern w:val="0"/>
          <w:sz w:val="24"/>
        </w:rPr>
        <w:t>2</w:t>
      </w:r>
      <w:r>
        <w:rPr>
          <w:rFonts w:hint="eastAsia" w:ascii="宋体" w:hAnsi="宋体" w:cs="宋体"/>
          <w:color w:val="000000"/>
          <w:kern w:val="0"/>
          <w:sz w:val="24"/>
        </w:rPr>
        <w:t>、投标人须具有软件企业认定证书；</w:t>
      </w:r>
      <w:r>
        <w:rPr>
          <w:rFonts w:ascii="宋体" w:hAnsi="宋体" w:cs="宋体"/>
          <w:color w:val="000000"/>
          <w:kern w:val="0"/>
          <w:szCs w:val="21"/>
        </w:rPr>
        <w:t xml:space="preserve"> </w:t>
      </w:r>
    </w:p>
    <w:p w14:paraId="5C951763">
      <w:pPr>
        <w:widowControl/>
        <w:spacing w:before="100" w:beforeAutospacing="1" w:after="100" w:afterAutospacing="1" w:line="360" w:lineRule="auto"/>
        <w:ind w:firstLine="425"/>
        <w:jc w:val="left"/>
        <w:rPr>
          <w:rFonts w:ascii="宋体" w:hAnsi="宋体" w:cs="宋体"/>
          <w:color w:val="000000"/>
          <w:kern w:val="0"/>
          <w:szCs w:val="21"/>
        </w:rPr>
      </w:pPr>
      <w:r>
        <w:rPr>
          <w:rFonts w:ascii="宋体" w:hAnsi="宋体" w:cs="宋体"/>
          <w:color w:val="000000"/>
          <w:kern w:val="0"/>
          <w:sz w:val="24"/>
        </w:rPr>
        <w:t>3</w:t>
      </w:r>
      <w:r>
        <w:rPr>
          <w:rFonts w:hint="eastAsia" w:ascii="宋体" w:hAnsi="宋体" w:cs="宋体"/>
          <w:color w:val="000000"/>
          <w:kern w:val="0"/>
          <w:sz w:val="24"/>
        </w:rPr>
        <w:t>、投标人须具有同类项目的成功案例（提供合同及验收报告）；</w:t>
      </w:r>
      <w:r>
        <w:rPr>
          <w:rFonts w:ascii="宋体" w:hAnsi="宋体" w:cs="宋体"/>
          <w:color w:val="000000"/>
          <w:kern w:val="0"/>
          <w:szCs w:val="21"/>
        </w:rPr>
        <w:t xml:space="preserve"> </w:t>
      </w:r>
    </w:p>
    <w:p w14:paraId="1B5534F0">
      <w:pPr>
        <w:widowControl/>
        <w:spacing w:before="100" w:beforeAutospacing="1" w:after="100" w:afterAutospacing="1" w:line="360" w:lineRule="auto"/>
        <w:ind w:firstLine="425"/>
        <w:jc w:val="left"/>
        <w:rPr>
          <w:rFonts w:ascii="宋体" w:hAnsi="宋体" w:cs="宋体"/>
          <w:color w:val="000000"/>
          <w:kern w:val="0"/>
          <w:szCs w:val="21"/>
        </w:rPr>
      </w:pPr>
      <w:r>
        <w:rPr>
          <w:rFonts w:ascii="宋体" w:hAnsi="宋体" w:cs="宋体"/>
          <w:color w:val="000000"/>
          <w:kern w:val="0"/>
          <w:sz w:val="24"/>
        </w:rPr>
        <w:t>4</w:t>
      </w:r>
      <w:r>
        <w:rPr>
          <w:rFonts w:hint="eastAsia" w:ascii="宋体" w:hAnsi="宋体" w:cs="宋体"/>
          <w:color w:val="000000"/>
          <w:kern w:val="0"/>
          <w:sz w:val="24"/>
        </w:rPr>
        <w:t>、公司总部不在常州的投标人须承诺中标后</w:t>
      </w:r>
      <w:r>
        <w:rPr>
          <w:rFonts w:ascii="宋体" w:hAnsi="宋体" w:cs="宋体"/>
          <w:color w:val="000000"/>
          <w:kern w:val="0"/>
          <w:sz w:val="24"/>
        </w:rPr>
        <w:t>15</w:t>
      </w:r>
      <w:r>
        <w:rPr>
          <w:rFonts w:hint="eastAsia" w:ascii="宋体" w:hAnsi="宋体" w:cs="宋体"/>
          <w:color w:val="000000"/>
          <w:kern w:val="0"/>
          <w:sz w:val="24"/>
        </w:rPr>
        <w:t>个工作日内在常州市区设立经工商注册的分公司或子公司，确保驻点服务实施和售后服务响应；</w:t>
      </w:r>
      <w:r>
        <w:rPr>
          <w:rFonts w:ascii="宋体" w:hAnsi="宋体" w:cs="宋体"/>
          <w:color w:val="000000"/>
          <w:kern w:val="0"/>
          <w:szCs w:val="21"/>
        </w:rPr>
        <w:t xml:space="preserve"> </w:t>
      </w:r>
    </w:p>
    <w:p w14:paraId="2DF4CA0F">
      <w:pPr>
        <w:widowControl/>
        <w:spacing w:before="100" w:beforeAutospacing="1" w:after="100" w:afterAutospacing="1" w:line="360" w:lineRule="auto"/>
        <w:ind w:firstLine="425"/>
        <w:jc w:val="left"/>
        <w:rPr>
          <w:rFonts w:ascii="宋体" w:hAnsi="宋体" w:cs="宋体"/>
          <w:color w:val="000000"/>
          <w:kern w:val="0"/>
          <w:szCs w:val="21"/>
        </w:rPr>
      </w:pPr>
      <w:r>
        <w:rPr>
          <w:rFonts w:ascii="宋体" w:hAnsi="宋体" w:cs="宋体"/>
          <w:color w:val="000000"/>
          <w:kern w:val="0"/>
          <w:sz w:val="24"/>
        </w:rPr>
        <w:t>5</w:t>
      </w:r>
      <w:r>
        <w:rPr>
          <w:rFonts w:hint="eastAsia" w:ascii="宋体" w:hAnsi="宋体" w:cs="宋体"/>
          <w:color w:val="000000"/>
          <w:kern w:val="0"/>
          <w:sz w:val="24"/>
        </w:rPr>
        <w:t>、本项目不接受联合体投标，投标人必须具备独立完成本项目的能力。</w:t>
      </w:r>
      <w:r>
        <w:rPr>
          <w:rFonts w:ascii="宋体" w:hAnsi="宋体" w:cs="宋体"/>
          <w:color w:val="000000"/>
          <w:kern w:val="0"/>
          <w:szCs w:val="21"/>
        </w:rPr>
        <w:t xml:space="preserve"> </w:t>
      </w:r>
    </w:p>
    <w:p w14:paraId="0C3192AB">
      <w:pPr>
        <w:widowControl/>
        <w:spacing w:before="100" w:beforeAutospacing="1" w:after="100" w:afterAutospacing="1" w:line="360" w:lineRule="auto"/>
        <w:ind w:left="359" w:leftChars="171"/>
        <w:jc w:val="left"/>
        <w:rPr>
          <w:rFonts w:ascii="宋体" w:hAnsi="宋体" w:cs="宋体"/>
          <w:color w:val="000000"/>
          <w:kern w:val="0"/>
          <w:sz w:val="24"/>
        </w:rPr>
      </w:pPr>
      <w:r>
        <w:rPr>
          <w:rFonts w:hint="eastAsia" w:ascii="宋体" w:hAnsi="宋体" w:cs="宋体"/>
          <w:b/>
          <w:bCs/>
          <w:color w:val="000000"/>
          <w:kern w:val="0"/>
          <w:sz w:val="24"/>
        </w:rPr>
        <w:t>四、采购文件领取的时间和地点：</w:t>
      </w:r>
      <w:r>
        <w:rPr>
          <w:rFonts w:hint="eastAsia" w:ascii="宋体" w:hAnsi="宋体" w:cs="宋体"/>
          <w:color w:val="000000"/>
          <w:kern w:val="0"/>
          <w:sz w:val="24"/>
        </w:rPr>
        <w:t>投标人自公告之日起自行下载谈判文件，</w:t>
      </w:r>
      <w:r>
        <w:rPr>
          <w:rFonts w:hint="eastAsia" w:ascii="宋体" w:hAnsi="宋体"/>
          <w:color w:val="000000"/>
          <w:sz w:val="24"/>
        </w:rPr>
        <w:t>并按要求缴纳投标保证金贰万元整，由投标人以银行转账方式自行将投标保证金交至下列账户，并持相关凭证到常州市天宁区政府采购中心换取相关收据凭证。</w:t>
      </w:r>
    </w:p>
    <w:p w14:paraId="29CF58A3">
      <w:pPr>
        <w:widowControl/>
        <w:adjustRightInd w:val="0"/>
        <w:snapToGrid w:val="0"/>
        <w:spacing w:line="360" w:lineRule="auto"/>
        <w:ind w:firstLine="420"/>
        <w:jc w:val="left"/>
        <w:rPr>
          <w:rFonts w:ascii="宋体"/>
          <w:color w:val="000000"/>
          <w:sz w:val="24"/>
        </w:rPr>
      </w:pPr>
      <w:r>
        <w:rPr>
          <w:rFonts w:hint="eastAsia" w:ascii="宋体" w:hAnsi="宋体"/>
          <w:color w:val="000000"/>
          <w:sz w:val="24"/>
        </w:rPr>
        <w:t>开户名称：常州市天宁区政府非税收入专户</w:t>
      </w:r>
    </w:p>
    <w:p w14:paraId="58078918">
      <w:pPr>
        <w:widowControl/>
        <w:adjustRightInd w:val="0"/>
        <w:snapToGrid w:val="0"/>
        <w:spacing w:line="360" w:lineRule="auto"/>
        <w:ind w:firstLine="420"/>
        <w:jc w:val="left"/>
        <w:rPr>
          <w:rFonts w:ascii="宋体" w:hAnsi="宋体"/>
          <w:color w:val="000000"/>
          <w:sz w:val="24"/>
        </w:rPr>
      </w:pPr>
      <w:r>
        <w:rPr>
          <w:rFonts w:hint="eastAsia" w:ascii="宋体" w:hAnsi="宋体"/>
          <w:color w:val="000000"/>
          <w:sz w:val="24"/>
        </w:rPr>
        <w:t>银行帐号：</w:t>
      </w:r>
      <w:r>
        <w:rPr>
          <w:rFonts w:ascii="宋体" w:hAnsi="宋体"/>
          <w:color w:val="000000"/>
          <w:sz w:val="24"/>
        </w:rPr>
        <w:t>8983204010101211000001690</w:t>
      </w:r>
    </w:p>
    <w:p w14:paraId="71BBC09A">
      <w:pPr>
        <w:widowControl/>
        <w:adjustRightInd w:val="0"/>
        <w:snapToGrid w:val="0"/>
        <w:spacing w:line="360" w:lineRule="auto"/>
        <w:ind w:firstLine="420"/>
        <w:jc w:val="left"/>
        <w:rPr>
          <w:rFonts w:ascii="宋体"/>
          <w:color w:val="000000"/>
          <w:sz w:val="24"/>
        </w:rPr>
      </w:pPr>
      <w:r>
        <w:rPr>
          <w:rFonts w:hint="eastAsia" w:ascii="宋体" w:hAnsi="宋体"/>
          <w:color w:val="000000"/>
          <w:sz w:val="24"/>
        </w:rPr>
        <w:t>开户银行：江苏江南农村商业银行股份有限公司常州市天宁支行（备注栏注明：常州市天宁区政府采购中心）</w:t>
      </w:r>
    </w:p>
    <w:p w14:paraId="2C3B46AE">
      <w:pPr>
        <w:widowControl/>
        <w:spacing w:before="100" w:beforeAutospacing="1" w:after="100" w:afterAutospacing="1" w:line="360" w:lineRule="auto"/>
        <w:ind w:left="359" w:leftChars="171"/>
        <w:jc w:val="left"/>
        <w:rPr>
          <w:rFonts w:ascii="宋体" w:hAnsi="宋体" w:cs="宋体"/>
          <w:color w:val="000000"/>
          <w:kern w:val="0"/>
          <w:szCs w:val="21"/>
        </w:rPr>
      </w:pPr>
      <w:r>
        <w:rPr>
          <w:rFonts w:hint="eastAsia" w:ascii="宋体" w:hAnsi="宋体" w:cs="宋体"/>
          <w:b/>
          <w:bCs/>
          <w:color w:val="000000"/>
          <w:kern w:val="0"/>
          <w:sz w:val="24"/>
        </w:rPr>
        <w:t>五、投标文件接收及开标信息：</w:t>
      </w:r>
      <w:r>
        <w:rPr>
          <w:rFonts w:ascii="宋体" w:hAnsi="宋体" w:cs="宋体"/>
          <w:color w:val="000000"/>
          <w:kern w:val="0"/>
          <w:szCs w:val="21"/>
        </w:rPr>
        <w:t xml:space="preserve"> </w:t>
      </w:r>
    </w:p>
    <w:p w14:paraId="0A4774C3">
      <w:pPr>
        <w:widowControl/>
        <w:spacing w:before="100" w:beforeAutospacing="1" w:after="100" w:afterAutospacing="1"/>
        <w:ind w:left="359" w:leftChars="171" w:firstLine="62" w:firstLineChars="26"/>
        <w:jc w:val="left"/>
        <w:rPr>
          <w:rFonts w:ascii="宋体" w:hAnsi="宋体" w:cs="宋体"/>
          <w:color w:val="000000"/>
          <w:kern w:val="0"/>
          <w:szCs w:val="21"/>
        </w:rPr>
      </w:pPr>
      <w:r>
        <w:rPr>
          <w:rFonts w:hint="eastAsia" w:ascii="宋体" w:hAnsi="宋体" w:cs="宋体"/>
          <w:color w:val="000000"/>
          <w:kern w:val="0"/>
          <w:sz w:val="24"/>
        </w:rPr>
        <w:t>投标文件接收截止暨开标时间：</w:t>
      </w:r>
      <w:r>
        <w:rPr>
          <w:rFonts w:ascii="宋体" w:hAnsi="宋体" w:cs="宋体"/>
          <w:color w:val="000000"/>
          <w:kern w:val="0"/>
          <w:sz w:val="24"/>
        </w:rPr>
        <w:t>2015</w:t>
      </w:r>
      <w:r>
        <w:rPr>
          <w:rFonts w:hint="eastAsia" w:ascii="宋体" w:hAnsi="宋体" w:cs="宋体"/>
          <w:color w:val="000000"/>
          <w:kern w:val="0"/>
          <w:sz w:val="24"/>
        </w:rPr>
        <w:t>年10月29日上午9：3</w:t>
      </w:r>
      <w:r>
        <w:rPr>
          <w:rFonts w:ascii="宋体" w:hAnsi="宋体" w:cs="宋体"/>
          <w:color w:val="000000"/>
          <w:kern w:val="0"/>
          <w:sz w:val="24"/>
        </w:rPr>
        <w:t>0</w:t>
      </w:r>
      <w:r>
        <w:rPr>
          <w:rFonts w:hint="eastAsia" w:ascii="宋体" w:hAnsi="宋体" w:cs="宋体"/>
          <w:color w:val="000000"/>
          <w:kern w:val="0"/>
          <w:sz w:val="24"/>
        </w:rPr>
        <w:t>分；</w:t>
      </w:r>
    </w:p>
    <w:p w14:paraId="13C3F59B">
      <w:pPr>
        <w:widowControl/>
        <w:spacing w:before="100" w:beforeAutospacing="1" w:after="100" w:afterAutospacing="1" w:line="360" w:lineRule="auto"/>
        <w:ind w:firstLine="425"/>
        <w:jc w:val="left"/>
        <w:rPr>
          <w:rFonts w:ascii="宋体" w:hAnsi="宋体" w:cs="宋体"/>
          <w:color w:val="000000"/>
          <w:kern w:val="0"/>
          <w:szCs w:val="21"/>
        </w:rPr>
      </w:pPr>
      <w:r>
        <w:rPr>
          <w:rFonts w:hint="eastAsia" w:ascii="宋体" w:hAnsi="宋体" w:cs="宋体"/>
          <w:color w:val="000000"/>
          <w:kern w:val="0"/>
          <w:sz w:val="24"/>
        </w:rPr>
        <w:t>投标文件接受暨开标地点：常州市关河东路66号、九洲环宇16楼B座1605会议室。</w:t>
      </w:r>
    </w:p>
    <w:p w14:paraId="064F15C7">
      <w:pPr>
        <w:widowControl/>
        <w:spacing w:before="100" w:beforeAutospacing="1" w:after="100" w:afterAutospacing="1" w:line="360" w:lineRule="auto"/>
        <w:ind w:firstLine="480"/>
        <w:jc w:val="left"/>
        <w:rPr>
          <w:rFonts w:ascii="宋体" w:hAnsi="宋体" w:cs="宋体"/>
          <w:color w:val="000000"/>
          <w:kern w:val="0"/>
          <w:szCs w:val="21"/>
        </w:rPr>
      </w:pPr>
      <w:r>
        <w:rPr>
          <w:rFonts w:hint="eastAsia" w:ascii="宋体" w:hAnsi="宋体" w:cs="宋体"/>
          <w:b/>
          <w:bCs/>
          <w:color w:val="000000"/>
          <w:kern w:val="0"/>
          <w:sz w:val="24"/>
        </w:rPr>
        <w:t>六、特别说明：</w:t>
      </w:r>
      <w:r>
        <w:rPr>
          <w:rFonts w:ascii="宋体" w:hAnsi="宋体" w:cs="宋体"/>
          <w:color w:val="000000"/>
          <w:kern w:val="0"/>
          <w:szCs w:val="21"/>
        </w:rPr>
        <w:t xml:space="preserve"> </w:t>
      </w:r>
    </w:p>
    <w:p w14:paraId="57569D8B">
      <w:pPr>
        <w:widowControl/>
        <w:spacing w:before="100" w:beforeAutospacing="1" w:after="100" w:afterAutospacing="1" w:line="360" w:lineRule="auto"/>
        <w:ind w:firstLine="432"/>
        <w:jc w:val="left"/>
        <w:rPr>
          <w:rFonts w:ascii="宋体" w:hAnsi="宋体" w:cs="宋体"/>
          <w:color w:val="000000"/>
          <w:kern w:val="0"/>
          <w:szCs w:val="21"/>
        </w:rPr>
      </w:pPr>
      <w:r>
        <w:rPr>
          <w:rFonts w:hint="eastAsia" w:ascii="宋体" w:hAnsi="宋体" w:cs="宋体"/>
          <w:color w:val="000000"/>
          <w:kern w:val="0"/>
          <w:sz w:val="24"/>
        </w:rPr>
        <w:t>参加竞标的供应商若认为谈判文件的资格要求和技术要求有倾向性或不公正性，可在报价截止期</w:t>
      </w:r>
      <w:r>
        <w:rPr>
          <w:rFonts w:ascii="宋体" w:hAnsi="宋体" w:cs="宋体"/>
          <w:color w:val="000000"/>
          <w:kern w:val="0"/>
          <w:sz w:val="24"/>
        </w:rPr>
        <w:t>2</w:t>
      </w:r>
      <w:r>
        <w:rPr>
          <w:rFonts w:hint="eastAsia" w:ascii="宋体" w:hAnsi="宋体" w:cs="宋体"/>
          <w:color w:val="000000"/>
          <w:kern w:val="0"/>
          <w:sz w:val="24"/>
        </w:rPr>
        <w:t>日前以书面形式向我中心提出。对于没有提出澄清要求又参与了该项目投标的供应商将被视为完全认同该谈判文件，报价截止期后不再受理针对谈判文件的相关质疑和投诉。</w:t>
      </w:r>
      <w:r>
        <w:rPr>
          <w:rFonts w:ascii="宋体" w:hAnsi="宋体" w:cs="宋体"/>
          <w:color w:val="000000"/>
          <w:kern w:val="0"/>
          <w:szCs w:val="21"/>
        </w:rPr>
        <w:t xml:space="preserve"> </w:t>
      </w:r>
    </w:p>
    <w:p w14:paraId="47329F35">
      <w:pPr>
        <w:widowControl/>
        <w:spacing w:before="100" w:beforeAutospacing="1" w:after="100" w:afterAutospacing="1" w:line="360" w:lineRule="auto"/>
        <w:ind w:firstLine="480"/>
        <w:jc w:val="left"/>
        <w:rPr>
          <w:rFonts w:ascii="宋体" w:hAnsi="宋体" w:cs="宋体"/>
          <w:color w:val="000000"/>
          <w:kern w:val="0"/>
          <w:szCs w:val="21"/>
        </w:rPr>
      </w:pPr>
      <w:r>
        <w:rPr>
          <w:rFonts w:hint="eastAsia" w:ascii="宋体" w:hAnsi="宋体" w:cs="宋体"/>
          <w:b/>
          <w:bCs/>
          <w:color w:val="000000"/>
          <w:kern w:val="0"/>
          <w:sz w:val="24"/>
        </w:rPr>
        <w:t>七、本次谈判采购联系方式：</w:t>
      </w:r>
      <w:r>
        <w:rPr>
          <w:rFonts w:ascii="宋体" w:hAnsi="宋体" w:cs="宋体"/>
          <w:color w:val="000000"/>
          <w:kern w:val="0"/>
          <w:szCs w:val="21"/>
        </w:rPr>
        <w:t xml:space="preserve"> </w:t>
      </w:r>
    </w:p>
    <w:p w14:paraId="3D5DD381">
      <w:pPr>
        <w:widowControl/>
        <w:spacing w:before="100" w:beforeAutospacing="1" w:after="100" w:afterAutospacing="1" w:line="360" w:lineRule="auto"/>
        <w:ind w:firstLine="478"/>
        <w:jc w:val="left"/>
        <w:rPr>
          <w:rFonts w:ascii="宋体" w:hAnsi="宋体" w:cs="宋体"/>
          <w:color w:val="000000"/>
          <w:kern w:val="0"/>
          <w:sz w:val="24"/>
        </w:rPr>
      </w:pPr>
      <w:r>
        <w:rPr>
          <w:rFonts w:hint="eastAsia" w:ascii="宋体" w:hAnsi="宋体" w:cs="宋体"/>
          <w:color w:val="000000"/>
          <w:kern w:val="0"/>
          <w:sz w:val="24"/>
        </w:rPr>
        <w:t xml:space="preserve">联系人及联系电话：   朱忠英     </w:t>
      </w:r>
      <w:r>
        <w:rPr>
          <w:rFonts w:ascii="宋体" w:hAnsi="宋体" w:cs="宋体"/>
          <w:color w:val="000000"/>
          <w:kern w:val="0"/>
          <w:sz w:val="24"/>
        </w:rPr>
        <w:t>0519-86</w:t>
      </w:r>
      <w:r>
        <w:rPr>
          <w:rFonts w:hint="eastAsia" w:ascii="宋体" w:hAnsi="宋体" w:cs="宋体"/>
          <w:color w:val="000000"/>
          <w:kern w:val="0"/>
          <w:sz w:val="24"/>
        </w:rPr>
        <w:t>662919</w:t>
      </w:r>
    </w:p>
    <w:p w14:paraId="08F519C2">
      <w:pPr>
        <w:widowControl/>
        <w:spacing w:before="100" w:beforeAutospacing="1" w:after="100" w:afterAutospacing="1" w:line="360" w:lineRule="auto"/>
        <w:ind w:firstLine="478"/>
        <w:jc w:val="left"/>
        <w:rPr>
          <w:rFonts w:ascii="宋体" w:hAnsi="宋体" w:cs="宋体"/>
          <w:color w:val="000000"/>
          <w:kern w:val="0"/>
          <w:sz w:val="24"/>
        </w:rPr>
      </w:pPr>
      <w:r>
        <w:rPr>
          <w:rFonts w:hint="eastAsia" w:ascii="宋体" w:hAnsi="宋体" w:cs="宋体"/>
          <w:color w:val="000000"/>
          <w:kern w:val="0"/>
          <w:sz w:val="24"/>
        </w:rPr>
        <w:t>联系地址：常州市关河东路66号、九洲环宇20楼B座2011室</w:t>
      </w:r>
    </w:p>
    <w:p w14:paraId="5D04E9F3">
      <w:pPr>
        <w:widowControl/>
        <w:spacing w:before="100" w:beforeAutospacing="1" w:after="100" w:afterAutospacing="1" w:line="360" w:lineRule="auto"/>
        <w:ind w:firstLine="478"/>
        <w:jc w:val="left"/>
        <w:rPr>
          <w:rFonts w:ascii="宋体" w:hAnsi="宋体" w:cs="宋体"/>
          <w:color w:val="000000"/>
          <w:kern w:val="0"/>
          <w:szCs w:val="21"/>
        </w:rPr>
      </w:pPr>
      <w:r>
        <w:rPr>
          <w:rFonts w:hint="eastAsia" w:ascii="宋体" w:hAnsi="宋体" w:cs="宋体"/>
          <w:color w:val="000000"/>
          <w:kern w:val="0"/>
          <w:sz w:val="24"/>
        </w:rPr>
        <w:t xml:space="preserve">采购单位联系人及电话：  盛丽     </w:t>
      </w:r>
      <w:r>
        <w:rPr>
          <w:rFonts w:ascii="宋体" w:hAnsi="宋体" w:cs="宋体"/>
          <w:color w:val="000000"/>
          <w:kern w:val="0"/>
          <w:sz w:val="24"/>
        </w:rPr>
        <w:t>0519-8</w:t>
      </w:r>
      <w:r>
        <w:rPr>
          <w:rFonts w:hint="eastAsia" w:ascii="宋体" w:hAnsi="宋体" w:cs="宋体"/>
          <w:color w:val="000000"/>
          <w:kern w:val="0"/>
          <w:sz w:val="24"/>
        </w:rPr>
        <w:t>6664672</w:t>
      </w:r>
      <w:r>
        <w:rPr>
          <w:rFonts w:ascii="宋体" w:hAnsi="宋体" w:cs="宋体"/>
          <w:color w:val="000000"/>
          <w:kern w:val="0"/>
          <w:szCs w:val="21"/>
        </w:rPr>
        <w:t xml:space="preserve"> </w:t>
      </w:r>
      <w:r>
        <w:rPr>
          <w:rFonts w:ascii="宋体" w:hAnsi="宋体" w:cs="宋体"/>
          <w:color w:val="000000"/>
          <w:kern w:val="0"/>
          <w:sz w:val="24"/>
        </w:rPr>
        <w:t> </w:t>
      </w:r>
    </w:p>
    <w:p w14:paraId="79156806">
      <w:pPr>
        <w:widowControl/>
        <w:spacing w:before="100" w:beforeAutospacing="1" w:after="100" w:afterAutospacing="1" w:line="432" w:lineRule="auto"/>
        <w:jc w:val="left"/>
        <w:rPr>
          <w:rFonts w:ascii="宋体" w:hAnsi="宋体" w:cs="宋体"/>
          <w:color w:val="000000"/>
          <w:kern w:val="0"/>
          <w:szCs w:val="21"/>
        </w:rPr>
      </w:pPr>
      <w:r>
        <w:rPr>
          <w:rFonts w:ascii="宋体" w:hAnsi="宋体" w:cs="宋体"/>
          <w:color w:val="000000"/>
          <w:kern w:val="0"/>
          <w:sz w:val="24"/>
        </w:rPr>
        <w:t>  </w:t>
      </w:r>
      <w:r>
        <w:rPr>
          <w:rFonts w:hint="eastAsia" w:ascii="宋体" w:hAnsi="宋体" w:cs="宋体"/>
          <w:color w:val="000000"/>
          <w:kern w:val="0"/>
          <w:sz w:val="24"/>
        </w:rPr>
        <w:t xml:space="preserve">                                        常州市天宁区政府采购中心</w:t>
      </w:r>
      <w:r>
        <w:rPr>
          <w:rFonts w:ascii="宋体" w:hAnsi="宋体" w:cs="宋体"/>
          <w:color w:val="000000"/>
          <w:kern w:val="0"/>
          <w:szCs w:val="21"/>
        </w:rPr>
        <w:t xml:space="preserve"> </w:t>
      </w:r>
    </w:p>
    <w:p w14:paraId="24A5E5FC">
      <w:pPr>
        <w:rPr>
          <w:rFonts w:ascii="宋体" w:hAnsi="宋体" w:cs="宋体"/>
          <w:color w:val="000000"/>
          <w:kern w:val="0"/>
          <w:sz w:val="24"/>
        </w:rPr>
      </w:pPr>
      <w:r>
        <w:rPr>
          <w:rFonts w:ascii="宋体" w:hAnsi="宋体" w:cs="宋体"/>
          <w:color w:val="000000"/>
          <w:kern w:val="0"/>
          <w:sz w:val="24"/>
        </w:rPr>
        <w:t>                 </w:t>
      </w:r>
      <w:r>
        <w:rPr>
          <w:rFonts w:hint="eastAsia" w:ascii="宋体" w:hAnsi="宋体" w:cs="宋体"/>
          <w:color w:val="000000"/>
          <w:kern w:val="0"/>
          <w:sz w:val="24"/>
        </w:rPr>
        <w:t xml:space="preserve">              </w:t>
      </w:r>
      <w:r>
        <w:rPr>
          <w:rFonts w:ascii="宋体" w:hAnsi="宋体" w:cs="宋体"/>
          <w:color w:val="000000"/>
          <w:kern w:val="0"/>
          <w:sz w:val="24"/>
        </w:rPr>
        <w:t>2015</w:t>
      </w:r>
      <w:r>
        <w:rPr>
          <w:rFonts w:hint="eastAsia" w:ascii="宋体" w:hAnsi="宋体" w:cs="宋体"/>
          <w:color w:val="000000"/>
          <w:kern w:val="0"/>
          <w:sz w:val="24"/>
        </w:rPr>
        <w:t>年10月22日</w:t>
      </w:r>
    </w:p>
    <w:p w14:paraId="66E395D5">
      <w:pPr>
        <w:adjustRightInd w:val="0"/>
        <w:snapToGrid w:val="0"/>
        <w:spacing w:line="336" w:lineRule="auto"/>
        <w:jc w:val="center"/>
        <w:rPr>
          <w:rFonts w:ascii="仿宋_GB2312" w:eastAsia="仿宋_GB2312"/>
          <w:b/>
          <w:sz w:val="32"/>
          <w:szCs w:val="20"/>
        </w:rPr>
      </w:pPr>
      <w:r>
        <w:rPr>
          <w:rFonts w:hint="eastAsia" w:ascii="仿宋_GB2312" w:eastAsia="仿宋_GB2312"/>
          <w:b/>
          <w:sz w:val="44"/>
        </w:rPr>
        <w:t> </w:t>
      </w:r>
      <w:r>
        <w:rPr>
          <w:rFonts w:hint="eastAsia" w:ascii="仿宋_GB2312" w:eastAsia="仿宋_GB2312"/>
          <w:b/>
          <w:sz w:val="32"/>
        </w:rPr>
        <w:t>第二章   总则</w:t>
      </w:r>
    </w:p>
    <w:p w14:paraId="467B8BBE">
      <w:pPr>
        <w:adjustRightInd w:val="0"/>
        <w:snapToGrid w:val="0"/>
        <w:spacing w:line="336" w:lineRule="auto"/>
        <w:jc w:val="center"/>
        <w:rPr>
          <w:rFonts w:ascii="仿宋_GB2312" w:eastAsia="仿宋_GB2312"/>
          <w:b/>
          <w:sz w:val="32"/>
          <w:szCs w:val="20"/>
        </w:rPr>
      </w:pPr>
      <w:r>
        <w:rPr>
          <w:rFonts w:hint="eastAsia" w:ascii="仿宋_GB2312" w:eastAsia="仿宋_GB2312"/>
          <w:b/>
          <w:sz w:val="32"/>
        </w:rPr>
        <w:t> </w:t>
      </w:r>
    </w:p>
    <w:p w14:paraId="03A7EFC4">
      <w:pPr>
        <w:adjustRightInd w:val="0"/>
        <w:snapToGrid w:val="0"/>
        <w:spacing w:line="360" w:lineRule="auto"/>
        <w:ind w:firstLine="472" w:firstLineChars="196"/>
        <w:rPr>
          <w:rFonts w:ascii="仿宋_GB2312" w:eastAsia="仿宋_GB2312"/>
          <w:bCs/>
          <w:sz w:val="24"/>
        </w:rPr>
      </w:pPr>
      <w:r>
        <w:rPr>
          <w:rFonts w:hint="eastAsia" w:ascii="仿宋_GB2312" w:eastAsia="仿宋_GB2312"/>
          <w:b/>
          <w:bCs/>
          <w:sz w:val="24"/>
        </w:rPr>
        <w:t>一、招标项目：</w:t>
      </w:r>
      <w:r>
        <w:rPr>
          <w:rFonts w:hint="eastAsia" w:ascii="仿宋_GB2312" w:hAnsi="宋体" w:eastAsia="仿宋_GB2312"/>
          <w:sz w:val="24"/>
        </w:rPr>
        <w:t>常州市天宁区财政一体化软件升级改造</w:t>
      </w:r>
      <w:r>
        <w:rPr>
          <w:rFonts w:hint="eastAsia" w:ascii="仿宋_GB2312" w:hAnsi="楷体" w:eastAsia="仿宋_GB2312"/>
          <w:bCs/>
          <w:sz w:val="24"/>
        </w:rPr>
        <w:t>项目</w:t>
      </w:r>
      <w:r>
        <w:rPr>
          <w:rFonts w:hint="eastAsia" w:ascii="仿宋_GB2312" w:eastAsia="仿宋_GB2312"/>
          <w:bCs/>
          <w:sz w:val="24"/>
        </w:rPr>
        <w:t>。</w:t>
      </w:r>
    </w:p>
    <w:p w14:paraId="5B61411A">
      <w:pPr>
        <w:spacing w:line="480" w:lineRule="exact"/>
        <w:ind w:firstLine="472" w:firstLineChars="196"/>
        <w:rPr>
          <w:rFonts w:ascii="仿宋_GB2312" w:eastAsia="仿宋_GB2312"/>
          <w:sz w:val="24"/>
        </w:rPr>
      </w:pPr>
      <w:r>
        <w:rPr>
          <w:rFonts w:hint="eastAsia" w:ascii="仿宋_GB2312" w:eastAsia="仿宋_GB2312"/>
          <w:b/>
          <w:sz w:val="24"/>
        </w:rPr>
        <w:t>二、投标人的资格要求</w:t>
      </w:r>
      <w:r>
        <w:rPr>
          <w:rFonts w:hint="eastAsia" w:ascii="仿宋_GB2312" w:eastAsia="仿宋_GB2312"/>
          <w:sz w:val="24"/>
        </w:rPr>
        <w:t>：</w:t>
      </w:r>
    </w:p>
    <w:p w14:paraId="1A37BFFE">
      <w:pPr>
        <w:pStyle w:val="17"/>
        <w:spacing w:line="360" w:lineRule="exact"/>
        <w:ind w:firstLine="480" w:firstLineChars="200"/>
        <w:rPr>
          <w:rFonts w:ascii="仿宋_GB2312" w:hAnsi="宋体" w:eastAsia="仿宋_GB2312"/>
          <w:sz w:val="24"/>
          <w:szCs w:val="24"/>
        </w:rPr>
      </w:pPr>
      <w:r>
        <w:rPr>
          <w:rFonts w:hint="eastAsia" w:ascii="仿宋_GB2312" w:hAnsi="宋体" w:eastAsia="仿宋_GB2312" w:cs="Arial"/>
          <w:color w:val="000000"/>
          <w:sz w:val="24"/>
          <w:szCs w:val="24"/>
        </w:rPr>
        <w:t>1、</w:t>
      </w:r>
      <w:r>
        <w:rPr>
          <w:rFonts w:hint="eastAsia" w:ascii="仿宋_GB2312" w:hAnsi="宋体" w:eastAsia="仿宋_GB2312"/>
          <w:sz w:val="24"/>
          <w:szCs w:val="24"/>
        </w:rPr>
        <w:t>投标人须符合《政府采购法》第二十二条规定；</w:t>
      </w:r>
    </w:p>
    <w:p w14:paraId="641862A5">
      <w:pPr>
        <w:pStyle w:val="17"/>
        <w:spacing w:line="360" w:lineRule="exact"/>
        <w:ind w:firstLine="480" w:firstLineChars="200"/>
        <w:rPr>
          <w:rFonts w:ascii="仿宋_GB2312" w:hAnsi="宋体" w:eastAsia="仿宋_GB2312"/>
          <w:sz w:val="24"/>
          <w:szCs w:val="24"/>
        </w:rPr>
      </w:pPr>
      <w:r>
        <w:rPr>
          <w:rFonts w:hint="eastAsia" w:ascii="仿宋_GB2312" w:hAnsi="宋体" w:eastAsia="仿宋_GB2312" w:cs="宋体"/>
          <w:color w:val="000000"/>
          <w:kern w:val="0"/>
          <w:sz w:val="24"/>
          <w:szCs w:val="24"/>
        </w:rPr>
        <w:t>2、</w:t>
      </w:r>
      <w:r>
        <w:rPr>
          <w:rFonts w:hint="eastAsia" w:ascii="仿宋_GB2312" w:hAnsi="宋体" w:eastAsia="仿宋_GB2312"/>
          <w:sz w:val="24"/>
          <w:szCs w:val="24"/>
        </w:rPr>
        <w:t>投标人须具有软件企业认定证书；</w:t>
      </w:r>
    </w:p>
    <w:p w14:paraId="0EA7BB97">
      <w:pPr>
        <w:pStyle w:val="17"/>
        <w:spacing w:line="360" w:lineRule="exact"/>
        <w:ind w:firstLine="480" w:firstLineChars="200"/>
        <w:rPr>
          <w:rFonts w:ascii="仿宋_GB2312" w:eastAsia="仿宋_GB2312" w:cs="仿宋_GB2312"/>
          <w:sz w:val="24"/>
          <w:lang w:val="zh-CN"/>
        </w:rPr>
      </w:pPr>
      <w:r>
        <w:rPr>
          <w:rFonts w:hint="eastAsia" w:ascii="仿宋_GB2312" w:eastAsia="仿宋_GB2312" w:cs="仿宋_GB2312"/>
          <w:sz w:val="24"/>
          <w:lang w:val="zh-CN"/>
        </w:rPr>
        <w:t>3、投标人</w:t>
      </w:r>
      <w:r>
        <w:rPr>
          <w:rFonts w:hint="eastAsia" w:ascii="仿宋_GB2312" w:hAnsi="宋体" w:eastAsia="仿宋_GB2312"/>
          <w:sz w:val="24"/>
          <w:szCs w:val="24"/>
        </w:rPr>
        <w:t>须具有同类项目的成功案例（提供合同及验收报告）</w:t>
      </w:r>
      <w:r>
        <w:rPr>
          <w:rFonts w:hint="eastAsia" w:ascii="仿宋_GB2312" w:eastAsia="仿宋_GB2312" w:cs="仿宋_GB2312"/>
          <w:sz w:val="24"/>
          <w:lang w:val="zh-CN"/>
        </w:rPr>
        <w:t>；</w:t>
      </w:r>
    </w:p>
    <w:p w14:paraId="160563B0">
      <w:pPr>
        <w:adjustRightInd w:val="0"/>
        <w:snapToGrid w:val="0"/>
        <w:spacing w:line="360" w:lineRule="auto"/>
        <w:ind w:firstLine="480" w:firstLineChars="200"/>
        <w:rPr>
          <w:rFonts w:ascii="仿宋_GB2312" w:eastAsia="仿宋_GB2312"/>
          <w:sz w:val="24"/>
        </w:rPr>
      </w:pPr>
      <w:r>
        <w:rPr>
          <w:rFonts w:hint="eastAsia" w:ascii="仿宋_GB2312" w:hAnsi="仿宋_GB2312" w:eastAsia="仿宋_GB2312" w:cs="宋体"/>
          <w:kern w:val="0"/>
          <w:sz w:val="24"/>
        </w:rPr>
        <w:t>4、公司总部不在常州的投标人须承诺中标后15个工作日内在常州市区设立经工商注册的分公司或子公司</w:t>
      </w:r>
      <w:r>
        <w:rPr>
          <w:rFonts w:hint="eastAsia" w:ascii="仿宋_GB2312" w:eastAsia="仿宋_GB2312"/>
          <w:sz w:val="24"/>
        </w:rPr>
        <w:t>，确保驻点服务实施和售后服务响应；</w:t>
      </w:r>
    </w:p>
    <w:p w14:paraId="025C89CD">
      <w:pPr>
        <w:adjustRightInd w:val="0"/>
        <w:snapToGrid w:val="0"/>
        <w:spacing w:line="360" w:lineRule="auto"/>
        <w:ind w:firstLine="482" w:firstLineChars="200"/>
        <w:rPr>
          <w:rFonts w:ascii="仿宋_GB2312" w:eastAsia="仿宋_GB2312"/>
          <w:b/>
          <w:sz w:val="24"/>
          <w:szCs w:val="20"/>
        </w:rPr>
      </w:pPr>
      <w:r>
        <w:rPr>
          <w:rFonts w:hint="eastAsia" w:ascii="仿宋_GB2312" w:eastAsia="仿宋_GB2312"/>
          <w:b/>
          <w:sz w:val="24"/>
        </w:rPr>
        <w:t>三、投标费用</w:t>
      </w:r>
    </w:p>
    <w:p w14:paraId="7D152422">
      <w:pPr>
        <w:adjustRightInd w:val="0"/>
        <w:snapToGrid w:val="0"/>
        <w:spacing w:line="360" w:lineRule="auto"/>
        <w:ind w:firstLine="396" w:firstLineChars="165"/>
        <w:rPr>
          <w:rFonts w:ascii="仿宋_GB2312" w:eastAsia="仿宋_GB2312"/>
          <w:sz w:val="24"/>
          <w:szCs w:val="20"/>
        </w:rPr>
      </w:pPr>
      <w:r>
        <w:rPr>
          <w:rFonts w:hint="eastAsia" w:ascii="仿宋_GB2312" w:eastAsia="仿宋_GB2312"/>
          <w:sz w:val="24"/>
        </w:rPr>
        <w:t>投标人应自行承担其编制投标文件以及递交投标文件参加招投标过程所产生之一切费用。无论招投标结果如何，招标人对上述费用不负任何责任。</w:t>
      </w:r>
    </w:p>
    <w:p w14:paraId="4C67FF1C">
      <w:pPr>
        <w:adjustRightInd w:val="0"/>
        <w:snapToGrid w:val="0"/>
        <w:spacing w:line="360" w:lineRule="auto"/>
        <w:ind w:firstLine="525"/>
        <w:rPr>
          <w:rFonts w:ascii="仿宋_GB2312" w:eastAsia="仿宋_GB2312"/>
          <w:b/>
          <w:sz w:val="24"/>
          <w:szCs w:val="20"/>
        </w:rPr>
      </w:pPr>
      <w:r>
        <w:rPr>
          <w:rFonts w:hint="eastAsia" w:ascii="仿宋_GB2312" w:eastAsia="仿宋_GB2312"/>
          <w:b/>
          <w:sz w:val="24"/>
        </w:rPr>
        <w:t>四、谈判文件</w:t>
      </w:r>
    </w:p>
    <w:p w14:paraId="35BF7FD6">
      <w:pPr>
        <w:adjustRightInd w:val="0"/>
        <w:snapToGrid w:val="0"/>
        <w:spacing w:line="360" w:lineRule="auto"/>
        <w:ind w:firstLine="397"/>
        <w:rPr>
          <w:rFonts w:ascii="仿宋_GB2312" w:eastAsia="仿宋_GB2312"/>
          <w:sz w:val="24"/>
          <w:szCs w:val="20"/>
        </w:rPr>
      </w:pPr>
      <w:r>
        <w:rPr>
          <w:rFonts w:hint="eastAsia" w:ascii="仿宋_GB2312" w:eastAsia="仿宋_GB2312"/>
          <w:sz w:val="24"/>
        </w:rPr>
        <w:t xml:space="preserve">１、谈判文件的组成 </w:t>
      </w:r>
    </w:p>
    <w:p w14:paraId="01AD457F">
      <w:pPr>
        <w:adjustRightInd w:val="0"/>
        <w:snapToGrid w:val="0"/>
        <w:spacing w:line="360" w:lineRule="auto"/>
        <w:ind w:firstLine="397"/>
        <w:rPr>
          <w:rFonts w:ascii="仿宋_GB2312" w:eastAsia="仿宋_GB2312"/>
          <w:sz w:val="24"/>
          <w:szCs w:val="20"/>
        </w:rPr>
      </w:pPr>
      <w:r>
        <w:rPr>
          <w:rFonts w:hint="eastAsia" w:ascii="仿宋_GB2312" w:eastAsia="仿宋_GB2312"/>
          <w:sz w:val="24"/>
        </w:rPr>
        <w:t>本文件及依法对本文件所作的书面澄清或修改的内容均为谈判文件的组成部分。</w:t>
      </w:r>
    </w:p>
    <w:p w14:paraId="20ABF899">
      <w:pPr>
        <w:adjustRightInd w:val="0"/>
        <w:snapToGrid w:val="0"/>
        <w:spacing w:line="360" w:lineRule="auto"/>
        <w:ind w:firstLine="397"/>
        <w:rPr>
          <w:rFonts w:ascii="仿宋_GB2312" w:eastAsia="仿宋_GB2312"/>
          <w:sz w:val="24"/>
          <w:szCs w:val="20"/>
        </w:rPr>
      </w:pPr>
      <w:r>
        <w:rPr>
          <w:rFonts w:hint="eastAsia" w:ascii="仿宋_GB2312" w:eastAsia="仿宋_GB2312"/>
          <w:sz w:val="24"/>
        </w:rPr>
        <w:t>２、谈判文件的澄清、修改</w:t>
      </w:r>
    </w:p>
    <w:p w14:paraId="6CCB5646">
      <w:pPr>
        <w:adjustRightInd w:val="0"/>
        <w:snapToGrid w:val="0"/>
        <w:spacing w:line="360" w:lineRule="auto"/>
        <w:ind w:firstLine="516" w:firstLineChars="215"/>
        <w:rPr>
          <w:rFonts w:ascii="仿宋_GB2312" w:eastAsia="仿宋_GB2312"/>
          <w:sz w:val="24"/>
          <w:szCs w:val="20"/>
        </w:rPr>
      </w:pPr>
      <w:r>
        <w:rPr>
          <w:rFonts w:hint="eastAsia" w:ascii="仿宋_GB2312" w:eastAsia="仿宋_GB2312"/>
          <w:sz w:val="24"/>
        </w:rPr>
        <w:t>投标人下载谈判文件后，如有疑问需要澄清，可在</w:t>
      </w:r>
      <w:r>
        <w:rPr>
          <w:rFonts w:hint="eastAsia" w:ascii="仿宋_GB2312" w:hAnsi="宋体" w:eastAsia="仿宋_GB2312" w:cs="宋体"/>
          <w:color w:val="000000"/>
          <w:spacing w:val="2"/>
          <w:kern w:val="0"/>
          <w:sz w:val="24"/>
        </w:rPr>
        <w:t>响应文件递交截止期2日</w:t>
      </w:r>
      <w:r>
        <w:rPr>
          <w:rFonts w:hint="eastAsia" w:ascii="仿宋_GB2312" w:hAnsi="宋体" w:eastAsia="仿宋_GB2312" w:cs="宋体"/>
          <w:spacing w:val="2"/>
          <w:kern w:val="0"/>
          <w:sz w:val="24"/>
        </w:rPr>
        <w:t>前以书</w:t>
      </w:r>
      <w:r>
        <w:rPr>
          <w:rFonts w:hint="eastAsia" w:ascii="仿宋_GB2312" w:hAnsi="宋体" w:eastAsia="仿宋_GB2312" w:cs="宋体"/>
          <w:color w:val="000000"/>
          <w:spacing w:val="2"/>
          <w:kern w:val="0"/>
          <w:sz w:val="24"/>
        </w:rPr>
        <w:t>面形式向我中心提出</w:t>
      </w:r>
      <w:r>
        <w:rPr>
          <w:rFonts w:hint="eastAsia" w:ascii="仿宋_GB2312" w:eastAsia="仿宋_GB2312"/>
          <w:sz w:val="24"/>
        </w:rPr>
        <w:t>，招标人做出的澄清以公告形式在常州市天宁区政府采购中心网站发布。</w:t>
      </w:r>
    </w:p>
    <w:p w14:paraId="62128EE4">
      <w:pPr>
        <w:pStyle w:val="24"/>
        <w:spacing w:line="360" w:lineRule="auto"/>
        <w:ind w:firstLine="516" w:firstLineChars="215"/>
        <w:rPr>
          <w:rFonts w:ascii="仿宋_GB2312" w:eastAsia="仿宋_GB2312"/>
          <w:b w:val="0"/>
        </w:rPr>
      </w:pPr>
      <w:r>
        <w:rPr>
          <w:rFonts w:ascii="仿宋_GB2312" w:eastAsia="仿宋_GB2312"/>
          <w:b w:val="0"/>
        </w:rPr>
        <w:t>谈判文件</w:t>
      </w:r>
      <w:r>
        <w:rPr>
          <w:rFonts w:ascii="仿宋_GB2312" w:eastAsia="仿宋_GB2312"/>
          <w:b w:val="0"/>
          <w:szCs w:val="24"/>
        </w:rPr>
        <w:t>各项条款最终解释权归</w:t>
      </w:r>
      <w:r>
        <w:rPr>
          <w:rFonts w:ascii="仿宋_GB2312" w:eastAsia="仿宋_GB2312"/>
          <w:b w:val="0"/>
        </w:rPr>
        <w:t>天宁区政府采购中心，投标人对招标人提供的谈判文件所做出的推论、解释和结论，招标人概不负责。投标人由于对谈判文件的任何推论和误解以及招标人对有关问题的口头解释所造成的后果，均由投标人自负。</w:t>
      </w:r>
    </w:p>
    <w:p w14:paraId="50EE7879">
      <w:pPr>
        <w:adjustRightInd w:val="0"/>
        <w:snapToGrid w:val="0"/>
        <w:spacing w:line="360" w:lineRule="auto"/>
        <w:ind w:firstLine="516" w:firstLineChars="215"/>
        <w:rPr>
          <w:rFonts w:ascii="仿宋_GB2312" w:eastAsia="仿宋_GB2312"/>
          <w:sz w:val="24"/>
        </w:rPr>
      </w:pPr>
      <w:r>
        <w:rPr>
          <w:rFonts w:hint="eastAsia" w:ascii="仿宋_GB2312" w:eastAsia="仿宋_GB2312"/>
          <w:sz w:val="24"/>
        </w:rPr>
        <w:t>招标人有权对已发出的谈判文件进行必要的澄清或修改，并通知所有投标人。</w:t>
      </w:r>
    </w:p>
    <w:p w14:paraId="38C7C5C7">
      <w:pPr>
        <w:adjustRightInd w:val="0"/>
        <w:snapToGrid w:val="0"/>
        <w:spacing w:line="360" w:lineRule="auto"/>
        <w:ind w:firstLine="516" w:firstLineChars="215"/>
        <w:rPr>
          <w:rFonts w:ascii="仿宋_GB2312" w:eastAsia="仿宋_GB2312"/>
          <w:sz w:val="24"/>
        </w:rPr>
      </w:pPr>
      <w:r>
        <w:rPr>
          <w:rFonts w:hint="eastAsia" w:ascii="仿宋_GB2312" w:eastAsia="仿宋_GB2312"/>
          <w:sz w:val="24"/>
        </w:rPr>
        <w:t>谈判过程中，谈判小组在对投标文件的有效性、完整性和响应程度进行审查时，有权要求投标人对响应文件中含义不明确、同类问题表述不一致或者有明显文字和计算错误的内容等做出必要的澄清、说明或者更正。</w:t>
      </w:r>
    </w:p>
    <w:p w14:paraId="7F78A05E">
      <w:pPr>
        <w:adjustRightInd w:val="0"/>
        <w:snapToGrid w:val="0"/>
        <w:spacing w:line="360" w:lineRule="auto"/>
        <w:ind w:firstLine="516" w:firstLineChars="215"/>
        <w:rPr>
          <w:rFonts w:ascii="仿宋_GB2312" w:eastAsia="仿宋_GB2312"/>
          <w:sz w:val="24"/>
        </w:rPr>
      </w:pPr>
      <w:r>
        <w:rPr>
          <w:rFonts w:hint="eastAsia" w:ascii="仿宋_GB2312" w:eastAsia="仿宋_GB2312"/>
          <w:sz w:val="24"/>
        </w:rPr>
        <w:t>谈判过程中，谈判小组可根据谈判情况对谈判文件的以下内容做出实质性变动：采购需求中的技术、服务要求及合同草案主要条款等。</w:t>
      </w:r>
    </w:p>
    <w:p w14:paraId="34344C0A">
      <w:pPr>
        <w:adjustRightInd w:val="0"/>
        <w:snapToGrid w:val="0"/>
        <w:spacing w:line="360" w:lineRule="auto"/>
        <w:ind w:firstLine="516" w:firstLineChars="215"/>
        <w:rPr>
          <w:rFonts w:ascii="仿宋_GB2312" w:eastAsia="仿宋_GB2312"/>
          <w:sz w:val="24"/>
          <w:szCs w:val="20"/>
        </w:rPr>
      </w:pPr>
      <w:r>
        <w:rPr>
          <w:rFonts w:hint="eastAsia" w:ascii="仿宋_GB2312" w:eastAsia="仿宋_GB2312"/>
          <w:sz w:val="24"/>
        </w:rPr>
        <w:t>招标人可视具体情况，延长投标截止时间和开标时间，并以公告形式在天宁区人民政府门户网站发布。</w:t>
      </w:r>
    </w:p>
    <w:p w14:paraId="61270167">
      <w:pPr>
        <w:adjustRightInd w:val="0"/>
        <w:snapToGrid w:val="0"/>
        <w:spacing w:line="360" w:lineRule="auto"/>
        <w:ind w:firstLine="525"/>
        <w:rPr>
          <w:rFonts w:ascii="仿宋_GB2312" w:eastAsia="仿宋_GB2312"/>
          <w:b/>
          <w:sz w:val="24"/>
          <w:szCs w:val="20"/>
        </w:rPr>
      </w:pPr>
      <w:r>
        <w:rPr>
          <w:rFonts w:hint="eastAsia" w:ascii="仿宋_GB2312" w:eastAsia="仿宋_GB2312"/>
          <w:b/>
          <w:sz w:val="24"/>
        </w:rPr>
        <w:t>五、投标人的义务</w:t>
      </w:r>
    </w:p>
    <w:p w14:paraId="1508F30C">
      <w:pPr>
        <w:adjustRightInd w:val="0"/>
        <w:snapToGrid w:val="0"/>
        <w:spacing w:line="360" w:lineRule="auto"/>
        <w:ind w:firstLine="397"/>
        <w:rPr>
          <w:rFonts w:ascii="仿宋_GB2312" w:eastAsia="仿宋_GB2312"/>
          <w:sz w:val="24"/>
          <w:szCs w:val="20"/>
        </w:rPr>
      </w:pPr>
      <w:r>
        <w:rPr>
          <w:rFonts w:hint="eastAsia" w:ascii="仿宋_GB2312" w:eastAsia="仿宋_GB2312"/>
          <w:sz w:val="24"/>
        </w:rPr>
        <w:t>１、投标人应当认真阅读</w:t>
      </w:r>
      <w:r>
        <w:rPr>
          <w:rFonts w:ascii="仿宋_GB2312" w:eastAsia="仿宋_GB2312"/>
          <w:sz w:val="24"/>
        </w:rPr>
        <w:t>谈判</w:t>
      </w:r>
      <w:r>
        <w:rPr>
          <w:rFonts w:hint="eastAsia" w:ascii="仿宋_GB2312" w:eastAsia="仿宋_GB2312"/>
          <w:sz w:val="24"/>
        </w:rPr>
        <w:t>文件，完全明了招标项目之名称、用途、数量、质量和交货日期，完全明了投标人所应具备的资格条件。</w:t>
      </w:r>
    </w:p>
    <w:p w14:paraId="5EBE0C74">
      <w:pPr>
        <w:adjustRightInd w:val="0"/>
        <w:snapToGrid w:val="0"/>
        <w:spacing w:line="360" w:lineRule="auto"/>
        <w:ind w:firstLine="397"/>
        <w:rPr>
          <w:rFonts w:ascii="仿宋_GB2312" w:eastAsia="仿宋_GB2312"/>
          <w:sz w:val="24"/>
          <w:szCs w:val="20"/>
        </w:rPr>
      </w:pPr>
      <w:r>
        <w:rPr>
          <w:rFonts w:hint="eastAsia" w:ascii="仿宋_GB2312" w:eastAsia="仿宋_GB2312"/>
          <w:sz w:val="24"/>
        </w:rPr>
        <w:t>２、投标人应当按照谈判文件的要求编制投标文件。投标文件应对谈判文件提出的实质性要求和条件作出完全响应。</w:t>
      </w:r>
    </w:p>
    <w:p w14:paraId="750B1B36">
      <w:pPr>
        <w:adjustRightInd w:val="0"/>
        <w:snapToGrid w:val="0"/>
        <w:spacing w:line="360" w:lineRule="auto"/>
        <w:ind w:firstLine="397"/>
        <w:rPr>
          <w:rFonts w:ascii="仿宋_GB2312" w:eastAsia="仿宋_GB2312"/>
          <w:sz w:val="24"/>
          <w:szCs w:val="20"/>
        </w:rPr>
      </w:pPr>
      <w:r>
        <w:rPr>
          <w:rFonts w:hint="eastAsia" w:ascii="仿宋_GB2312" w:eastAsia="仿宋_GB2312"/>
          <w:sz w:val="24"/>
        </w:rPr>
        <w:t>３、投标人应在投标截止时间前，将密封的响应文件送达投标地点。</w:t>
      </w:r>
    </w:p>
    <w:p w14:paraId="7290EE13">
      <w:pPr>
        <w:adjustRightInd w:val="0"/>
        <w:snapToGrid w:val="0"/>
        <w:spacing w:line="360" w:lineRule="auto"/>
        <w:ind w:firstLine="397"/>
        <w:rPr>
          <w:rFonts w:ascii="仿宋_GB2312" w:eastAsia="仿宋_GB2312"/>
          <w:sz w:val="24"/>
          <w:szCs w:val="20"/>
        </w:rPr>
      </w:pPr>
      <w:r>
        <w:rPr>
          <w:rFonts w:hint="eastAsia" w:ascii="仿宋_GB2312" w:eastAsia="仿宋_GB2312"/>
          <w:sz w:val="24"/>
        </w:rPr>
        <w:t>４、投标人不得相互串通投标报价，不得排挤其他投标人的公平竞争，损害招标人或者其他投标人合法权益。投标人不得与招标人串通投标，损害国家利益，公众利益或者他人的合法权益。</w:t>
      </w:r>
    </w:p>
    <w:p w14:paraId="5B1CF500">
      <w:pPr>
        <w:adjustRightInd w:val="0"/>
        <w:snapToGrid w:val="0"/>
        <w:spacing w:line="360" w:lineRule="auto"/>
        <w:ind w:firstLine="397"/>
        <w:rPr>
          <w:rFonts w:ascii="仿宋_GB2312" w:eastAsia="仿宋_GB2312"/>
          <w:sz w:val="24"/>
          <w:szCs w:val="20"/>
        </w:rPr>
      </w:pPr>
      <w:r>
        <w:rPr>
          <w:rFonts w:hint="eastAsia" w:ascii="仿宋_GB2312" w:eastAsia="仿宋_GB2312"/>
          <w:sz w:val="24"/>
        </w:rPr>
        <w:t>５、投标人在投标截止时间前，对所递交的投标文件可以补充、修改或者撤回，并书面通知招标人。补充、修改的内容为投标文件的组成部分。</w:t>
      </w:r>
    </w:p>
    <w:p w14:paraId="28908842">
      <w:pPr>
        <w:adjustRightInd w:val="0"/>
        <w:snapToGrid w:val="0"/>
        <w:spacing w:line="336" w:lineRule="auto"/>
        <w:ind w:firstLine="397"/>
        <w:jc w:val="center"/>
        <w:rPr>
          <w:rFonts w:ascii="仿宋_GB2312" w:eastAsia="仿宋_GB2312"/>
          <w:b/>
          <w:sz w:val="32"/>
        </w:rPr>
      </w:pPr>
    </w:p>
    <w:p w14:paraId="6CCC646C">
      <w:pPr>
        <w:adjustRightInd w:val="0"/>
        <w:snapToGrid w:val="0"/>
        <w:spacing w:line="336" w:lineRule="auto"/>
        <w:ind w:firstLine="397"/>
        <w:jc w:val="center"/>
        <w:rPr>
          <w:rFonts w:ascii="仿宋_GB2312" w:eastAsia="仿宋_GB2312"/>
          <w:b/>
          <w:sz w:val="32"/>
          <w:szCs w:val="20"/>
        </w:rPr>
      </w:pPr>
      <w:r>
        <w:rPr>
          <w:rFonts w:hint="eastAsia" w:ascii="仿宋_GB2312" w:eastAsia="仿宋_GB2312"/>
          <w:b/>
          <w:sz w:val="32"/>
        </w:rPr>
        <w:t>第三章   投标文件</w:t>
      </w:r>
    </w:p>
    <w:p w14:paraId="61D2D56D">
      <w:pPr>
        <w:adjustRightInd w:val="0"/>
        <w:snapToGrid w:val="0"/>
        <w:spacing w:line="336" w:lineRule="auto"/>
        <w:ind w:firstLine="397"/>
        <w:rPr>
          <w:rFonts w:ascii="仿宋_GB2312" w:eastAsia="仿宋_GB2312"/>
          <w:sz w:val="24"/>
        </w:rPr>
      </w:pPr>
      <w:r>
        <w:rPr>
          <w:rFonts w:hint="eastAsia" w:ascii="仿宋_GB2312" w:eastAsia="仿宋_GB2312"/>
          <w:b/>
          <w:sz w:val="28"/>
          <w:szCs w:val="28"/>
        </w:rPr>
        <w:t>六</w:t>
      </w:r>
      <w:r>
        <w:rPr>
          <w:rFonts w:hint="eastAsia" w:ascii="仿宋_GB2312" w:eastAsia="仿宋_GB2312"/>
          <w:sz w:val="24"/>
        </w:rPr>
        <w:t>、</w:t>
      </w:r>
      <w:r>
        <w:rPr>
          <w:rFonts w:hint="eastAsia" w:ascii="仿宋_GB2312" w:hAnsi="华文仿宋" w:eastAsia="仿宋_GB2312"/>
          <w:b/>
          <w:sz w:val="28"/>
          <w:szCs w:val="28"/>
        </w:rPr>
        <w:t>投标文件组成</w:t>
      </w:r>
    </w:p>
    <w:p w14:paraId="407AE1AF">
      <w:pPr>
        <w:adjustRightInd w:val="0"/>
        <w:snapToGrid w:val="0"/>
        <w:spacing w:line="336" w:lineRule="auto"/>
        <w:ind w:firstLine="397"/>
        <w:rPr>
          <w:rFonts w:ascii="仿宋_GB2312" w:hAnsi="华文仿宋" w:eastAsia="仿宋_GB2312"/>
          <w:b/>
          <w:sz w:val="24"/>
        </w:rPr>
      </w:pPr>
      <w:r>
        <w:rPr>
          <w:rFonts w:hint="eastAsia" w:ascii="仿宋_GB2312" w:hAnsi="华文仿宋" w:eastAsia="仿宋_GB2312"/>
          <w:b/>
          <w:sz w:val="24"/>
        </w:rPr>
        <w:t>一式叁份，一份正本，贰份副本。投标文件应当符合招标文件的要求，并应包括但不限于下列内容。</w:t>
      </w:r>
    </w:p>
    <w:p w14:paraId="5C4A57FE">
      <w:pPr>
        <w:adjustRightInd w:val="0"/>
        <w:snapToGrid w:val="0"/>
        <w:spacing w:line="360" w:lineRule="auto"/>
        <w:ind w:firstLine="482" w:firstLineChars="200"/>
        <w:rPr>
          <w:rFonts w:ascii="仿宋_GB2312" w:hAnsi="华文仿宋" w:eastAsia="仿宋_GB2312"/>
          <w:b/>
          <w:sz w:val="24"/>
        </w:rPr>
      </w:pPr>
      <w:r>
        <w:rPr>
          <w:rFonts w:hint="eastAsia" w:ascii="仿宋_GB2312" w:hAnsi="华文仿宋" w:eastAsia="仿宋_GB2312"/>
          <w:b/>
          <w:sz w:val="24"/>
        </w:rPr>
        <w:t>1、公司情况说明：</w:t>
      </w:r>
    </w:p>
    <w:p w14:paraId="30474AD3">
      <w:pPr>
        <w:adjustRightInd w:val="0"/>
        <w:snapToGrid w:val="0"/>
        <w:spacing w:line="360" w:lineRule="auto"/>
        <w:ind w:firstLine="480" w:firstLineChars="200"/>
        <w:rPr>
          <w:rFonts w:ascii="仿宋_GB2312" w:hAnsi="华文仿宋" w:eastAsia="仿宋_GB2312"/>
          <w:sz w:val="24"/>
        </w:rPr>
      </w:pPr>
      <w:r>
        <w:rPr>
          <w:rFonts w:hint="eastAsia" w:ascii="仿宋_GB2312" w:hAnsi="华文仿宋" w:eastAsia="仿宋_GB2312"/>
          <w:sz w:val="24"/>
        </w:rPr>
        <w:t>公司简介、技术力量、单位信誉、已完成类似项目的情况，已实施类似项目一览表。</w:t>
      </w:r>
    </w:p>
    <w:p w14:paraId="462E1F0A">
      <w:pPr>
        <w:adjustRightInd w:val="0"/>
        <w:snapToGrid w:val="0"/>
        <w:spacing w:line="360" w:lineRule="auto"/>
        <w:ind w:firstLine="482" w:firstLineChars="200"/>
        <w:rPr>
          <w:rFonts w:ascii="仿宋_GB2312" w:hAnsi="华文仿宋" w:eastAsia="仿宋_GB2312"/>
          <w:b/>
          <w:sz w:val="24"/>
        </w:rPr>
      </w:pPr>
      <w:r>
        <w:rPr>
          <w:rFonts w:hint="eastAsia" w:ascii="仿宋_GB2312" w:hAnsi="华文仿宋" w:eastAsia="仿宋_GB2312"/>
          <w:b/>
          <w:sz w:val="24"/>
        </w:rPr>
        <w:t>2、投标报价单：</w:t>
      </w:r>
    </w:p>
    <w:p w14:paraId="525F23F6">
      <w:pPr>
        <w:adjustRightInd w:val="0"/>
        <w:snapToGrid w:val="0"/>
        <w:spacing w:line="360" w:lineRule="auto"/>
        <w:ind w:firstLine="480" w:firstLineChars="200"/>
        <w:rPr>
          <w:rFonts w:ascii="仿宋_GB2312" w:hAnsi="华文仿宋" w:eastAsia="仿宋_GB2312"/>
          <w:sz w:val="24"/>
        </w:rPr>
      </w:pPr>
      <w:r>
        <w:rPr>
          <w:rFonts w:hint="eastAsia" w:ascii="仿宋_GB2312" w:hAnsi="华文仿宋" w:eastAsia="仿宋_GB2312"/>
          <w:sz w:val="24"/>
        </w:rPr>
        <w:t>投标报价的具体要求见招标文件第五章。</w:t>
      </w:r>
    </w:p>
    <w:p w14:paraId="0CA26374">
      <w:pPr>
        <w:adjustRightInd w:val="0"/>
        <w:snapToGrid w:val="0"/>
        <w:spacing w:line="360" w:lineRule="auto"/>
        <w:ind w:firstLine="482" w:firstLineChars="200"/>
        <w:rPr>
          <w:rFonts w:ascii="仿宋_GB2312" w:hAnsi="华文仿宋" w:eastAsia="仿宋_GB2312"/>
          <w:b/>
          <w:sz w:val="24"/>
        </w:rPr>
      </w:pPr>
      <w:r>
        <w:rPr>
          <w:rFonts w:hint="eastAsia" w:ascii="仿宋_GB2312" w:hAnsi="华文仿宋" w:eastAsia="仿宋_GB2312"/>
          <w:b/>
          <w:sz w:val="24"/>
        </w:rPr>
        <w:t>3、项目实施方案，技术支持和服务保障：</w:t>
      </w:r>
    </w:p>
    <w:p w14:paraId="0677D382">
      <w:pPr>
        <w:adjustRightInd w:val="0"/>
        <w:snapToGrid w:val="0"/>
        <w:spacing w:line="360" w:lineRule="auto"/>
        <w:ind w:firstLine="480" w:firstLineChars="200"/>
        <w:rPr>
          <w:rFonts w:ascii="仿宋_GB2312" w:hAnsi="华文仿宋" w:eastAsia="仿宋_GB2312"/>
          <w:sz w:val="24"/>
        </w:rPr>
      </w:pPr>
      <w:r>
        <w:rPr>
          <w:rFonts w:hint="eastAsia" w:ascii="仿宋_GB2312" w:hAnsi="华文仿宋" w:eastAsia="仿宋_GB2312"/>
          <w:sz w:val="24"/>
        </w:rPr>
        <w:t>(1)针对本项目所描述项目需求进行业务分析并提出项目总体实施方案，详细阐述技术支持和服务保障内容;</w:t>
      </w:r>
    </w:p>
    <w:p w14:paraId="131F04A9">
      <w:pPr>
        <w:adjustRightInd w:val="0"/>
        <w:snapToGrid w:val="0"/>
        <w:spacing w:line="360" w:lineRule="auto"/>
        <w:ind w:firstLine="480" w:firstLineChars="200"/>
        <w:rPr>
          <w:rFonts w:ascii="仿宋_GB2312" w:hAnsi="华文仿宋" w:eastAsia="仿宋_GB2312"/>
          <w:sz w:val="24"/>
        </w:rPr>
      </w:pPr>
      <w:r>
        <w:rPr>
          <w:rFonts w:hint="eastAsia" w:ascii="仿宋_GB2312" w:hAnsi="华文仿宋" w:eastAsia="仿宋_GB2312"/>
          <w:sz w:val="24"/>
        </w:rPr>
        <w:t>(2)实施方案，包括项目进度表和组织机构，质量保障体系等项目详细实施保障方案；</w:t>
      </w:r>
    </w:p>
    <w:p w14:paraId="4DF8D3E7">
      <w:pPr>
        <w:adjustRightInd w:val="0"/>
        <w:snapToGrid w:val="0"/>
        <w:spacing w:line="360" w:lineRule="auto"/>
        <w:ind w:firstLine="480" w:firstLineChars="200"/>
        <w:rPr>
          <w:rFonts w:ascii="仿宋_GB2312" w:hAnsi="华文仿宋" w:eastAsia="仿宋_GB2312"/>
          <w:sz w:val="24"/>
        </w:rPr>
      </w:pPr>
      <w:r>
        <w:rPr>
          <w:rFonts w:hint="eastAsia" w:ascii="仿宋_GB2312" w:hAnsi="华文仿宋" w:eastAsia="仿宋_GB2312"/>
          <w:sz w:val="24"/>
        </w:rPr>
        <w:t>(3)技术支持和服务,要求制定详细的支持和服务保障方案，提供驻场服务人员2—3名，提供服务项目清单及自身服务承诺及特色(包括服务周期时间、费用和优势等)；</w:t>
      </w:r>
    </w:p>
    <w:p w14:paraId="356236EF">
      <w:pPr>
        <w:adjustRightInd w:val="0"/>
        <w:snapToGrid w:val="0"/>
        <w:spacing w:line="360" w:lineRule="auto"/>
        <w:ind w:firstLine="480" w:firstLineChars="200"/>
        <w:rPr>
          <w:rFonts w:ascii="仿宋_GB2312" w:hAnsi="华文仿宋" w:eastAsia="仿宋_GB2312"/>
          <w:sz w:val="24"/>
        </w:rPr>
      </w:pPr>
      <w:r>
        <w:rPr>
          <w:rFonts w:hint="eastAsia" w:ascii="仿宋_GB2312" w:hAnsi="华文仿宋" w:eastAsia="仿宋_GB2312"/>
          <w:sz w:val="24"/>
        </w:rPr>
        <w:t>(4)为完成本项目，投标方应组建工作小组，明确组成人员职责；</w:t>
      </w:r>
    </w:p>
    <w:p w14:paraId="45F475E7">
      <w:pPr>
        <w:adjustRightInd w:val="0"/>
        <w:snapToGrid w:val="0"/>
        <w:spacing w:line="360" w:lineRule="auto"/>
        <w:ind w:firstLine="480" w:firstLineChars="200"/>
        <w:rPr>
          <w:rFonts w:ascii="仿宋_GB2312" w:hAnsi="华文仿宋" w:eastAsia="仿宋_GB2312"/>
          <w:sz w:val="24"/>
        </w:rPr>
      </w:pPr>
      <w:r>
        <w:rPr>
          <w:rFonts w:hint="eastAsia" w:ascii="仿宋_GB2312" w:hAnsi="华文仿宋" w:eastAsia="仿宋_GB2312"/>
          <w:sz w:val="24"/>
        </w:rPr>
        <w:t>(5)项目组成人员资历情况，如资格证书等；</w:t>
      </w:r>
    </w:p>
    <w:p w14:paraId="6EC30875">
      <w:pPr>
        <w:adjustRightInd w:val="0"/>
        <w:snapToGrid w:val="0"/>
        <w:spacing w:line="360" w:lineRule="auto"/>
        <w:ind w:firstLine="480" w:firstLineChars="200"/>
        <w:rPr>
          <w:rFonts w:ascii="仿宋_GB2312" w:hAnsi="华文仿宋" w:eastAsia="仿宋_GB2312"/>
          <w:sz w:val="24"/>
        </w:rPr>
      </w:pPr>
      <w:r>
        <w:rPr>
          <w:rFonts w:hint="eastAsia" w:ascii="仿宋_GB2312" w:hAnsi="华文仿宋" w:eastAsia="仿宋_GB2312"/>
          <w:sz w:val="24"/>
        </w:rPr>
        <w:t>(6)投标人认为需要的其他技术文件或说明。</w:t>
      </w:r>
    </w:p>
    <w:p w14:paraId="0E81D640">
      <w:pPr>
        <w:adjustRightInd w:val="0"/>
        <w:snapToGrid w:val="0"/>
        <w:spacing w:line="360" w:lineRule="auto"/>
        <w:ind w:firstLine="472" w:firstLineChars="196"/>
        <w:rPr>
          <w:rFonts w:ascii="仿宋_GB2312" w:hAnsi="华文仿宋" w:eastAsia="仿宋_GB2312"/>
          <w:sz w:val="24"/>
        </w:rPr>
      </w:pPr>
      <w:r>
        <w:rPr>
          <w:rFonts w:hint="eastAsia" w:ascii="仿宋_GB2312" w:hAnsi="华文仿宋" w:eastAsia="仿宋_GB2312"/>
          <w:b/>
          <w:sz w:val="24"/>
        </w:rPr>
        <w:t>4、现场演示</w:t>
      </w:r>
      <w:r>
        <w:rPr>
          <w:rFonts w:hint="eastAsia" w:ascii="仿宋_GB2312" w:hAnsi="华文仿宋" w:eastAsia="仿宋_GB2312"/>
          <w:sz w:val="24"/>
        </w:rPr>
        <w:t>：投标人须提供</w:t>
      </w:r>
      <w:r>
        <w:rPr>
          <w:rFonts w:hint="eastAsia" w:ascii="仿宋_GB2312" w:eastAsia="仿宋_GB2312"/>
          <w:color w:val="000000"/>
          <w:sz w:val="24"/>
        </w:rPr>
        <w:t>类似项目的</w:t>
      </w:r>
      <w:r>
        <w:rPr>
          <w:rFonts w:hint="eastAsia" w:ascii="仿宋_GB2312" w:hAnsi="华文仿宋" w:eastAsia="仿宋_GB2312"/>
          <w:sz w:val="24"/>
        </w:rPr>
        <w:t>现场演示，具体要求见项目需求。</w:t>
      </w:r>
    </w:p>
    <w:p w14:paraId="0087CE76">
      <w:pPr>
        <w:adjustRightInd w:val="0"/>
        <w:snapToGrid w:val="0"/>
        <w:spacing w:line="360" w:lineRule="auto"/>
        <w:ind w:firstLine="482" w:firstLineChars="200"/>
        <w:rPr>
          <w:rFonts w:ascii="仿宋_GB2312" w:hAnsi="华文仿宋" w:eastAsia="仿宋_GB2312"/>
          <w:b/>
          <w:sz w:val="24"/>
        </w:rPr>
      </w:pPr>
      <w:r>
        <w:rPr>
          <w:rFonts w:hint="eastAsia" w:ascii="仿宋_GB2312" w:hAnsi="华文仿宋" w:eastAsia="仿宋_GB2312"/>
          <w:b/>
          <w:sz w:val="24"/>
        </w:rPr>
        <w:t>5、所需提供的其他资料：</w:t>
      </w:r>
      <w:r>
        <w:rPr>
          <w:rFonts w:hint="eastAsia" w:ascii="仿宋_GB2312" w:hAnsi="华文仿宋" w:eastAsia="仿宋_GB2312"/>
          <w:sz w:val="24"/>
        </w:rPr>
        <w:t>（以下1-6项在投标文件中提供复印件,</w:t>
      </w:r>
      <w:r>
        <w:rPr>
          <w:rFonts w:hint="eastAsia" w:ascii="仿宋_GB2312" w:hAnsi="宋体" w:eastAsia="仿宋_GB2312" w:cs="宋体"/>
          <w:color w:val="000000"/>
          <w:spacing w:val="2"/>
          <w:kern w:val="0"/>
          <w:sz w:val="24"/>
        </w:rPr>
        <w:t>加盖单位公章，原件备查</w:t>
      </w:r>
      <w:r>
        <w:rPr>
          <w:rFonts w:hint="eastAsia" w:ascii="仿宋_GB2312" w:hAnsi="华文仿宋" w:eastAsia="仿宋_GB2312"/>
          <w:sz w:val="24"/>
        </w:rPr>
        <w:t>)</w:t>
      </w:r>
      <w:r>
        <w:rPr>
          <w:rFonts w:hint="eastAsia" w:ascii="仿宋_GB2312" w:hAnsi="华文仿宋" w:eastAsia="仿宋_GB2312"/>
          <w:b/>
          <w:sz w:val="24"/>
        </w:rPr>
        <w:t>）</w:t>
      </w:r>
    </w:p>
    <w:p w14:paraId="1134E833">
      <w:pPr>
        <w:adjustRightInd w:val="0"/>
        <w:snapToGrid w:val="0"/>
        <w:spacing w:line="360" w:lineRule="auto"/>
        <w:ind w:firstLine="480" w:firstLineChars="200"/>
        <w:rPr>
          <w:rFonts w:ascii="仿宋_GB2312" w:hAnsi="华文仿宋" w:eastAsia="仿宋_GB2312"/>
          <w:sz w:val="24"/>
        </w:rPr>
      </w:pPr>
      <w:r>
        <w:rPr>
          <w:rFonts w:hint="eastAsia" w:ascii="仿宋_GB2312" w:hAnsi="华文仿宋" w:eastAsia="仿宋_GB2312"/>
          <w:sz w:val="24"/>
        </w:rPr>
        <w:t>1）营业执照副本、税务登记证副本、组织机构代码证；</w:t>
      </w:r>
    </w:p>
    <w:p w14:paraId="5CECF1D1">
      <w:pPr>
        <w:adjustRightInd w:val="0"/>
        <w:snapToGrid w:val="0"/>
        <w:spacing w:line="360" w:lineRule="auto"/>
        <w:ind w:firstLine="480" w:firstLineChars="200"/>
        <w:rPr>
          <w:rFonts w:ascii="仿宋_GB2312" w:hAnsi="华文仿宋" w:eastAsia="仿宋_GB2312"/>
          <w:sz w:val="24"/>
        </w:rPr>
      </w:pPr>
      <w:r>
        <w:rPr>
          <w:rFonts w:hint="eastAsia" w:ascii="仿宋_GB2312" w:hAnsi="华文仿宋" w:eastAsia="仿宋_GB2312"/>
          <w:sz w:val="24"/>
        </w:rPr>
        <w:t>2）法人代表授权委托书及法人代表、受托人身份证；</w:t>
      </w:r>
    </w:p>
    <w:p w14:paraId="74583C8E">
      <w:pPr>
        <w:snapToGrid w:val="0"/>
        <w:spacing w:line="360" w:lineRule="auto"/>
        <w:ind w:firstLine="480" w:firstLineChars="200"/>
        <w:rPr>
          <w:rFonts w:ascii="仿宋_GB2312" w:hAnsi="华文仿宋" w:eastAsia="仿宋_GB2312"/>
          <w:sz w:val="24"/>
        </w:rPr>
      </w:pPr>
      <w:r>
        <w:rPr>
          <w:rFonts w:hint="eastAsia" w:ascii="仿宋_GB2312" w:hAnsi="华文仿宋" w:eastAsia="仿宋_GB2312"/>
          <w:sz w:val="24"/>
        </w:rPr>
        <w:t>3）投标单位参与本项目的人员一览表（提供姓名、学历、年龄、资质证书情况、以往参加类似项目情况、在本项目中的责任等），明确负责本项目的项目管理人员，提供相关人员的职称或资格证书复印件，提供以上人员近期三个月的社保缴费记录证明；</w:t>
      </w:r>
    </w:p>
    <w:p w14:paraId="6EAB212F">
      <w:pPr>
        <w:snapToGrid w:val="0"/>
        <w:spacing w:line="360" w:lineRule="auto"/>
        <w:ind w:firstLine="480" w:firstLineChars="200"/>
        <w:rPr>
          <w:rFonts w:ascii="仿宋_GB2312" w:hAnsi="华文仿宋" w:eastAsia="仿宋_GB2312"/>
          <w:sz w:val="24"/>
        </w:rPr>
      </w:pPr>
      <w:r>
        <w:rPr>
          <w:rFonts w:hint="eastAsia" w:ascii="仿宋_GB2312" w:hAnsi="华文仿宋" w:eastAsia="仿宋_GB2312"/>
          <w:sz w:val="24"/>
        </w:rPr>
        <w:t>4）</w:t>
      </w:r>
      <w:r>
        <w:rPr>
          <w:rFonts w:hint="eastAsia" w:ascii="仿宋_GB2312" w:hAnsi="宋体" w:eastAsia="仿宋_GB2312"/>
          <w:sz w:val="24"/>
        </w:rPr>
        <w:t>软件企业认定证书</w:t>
      </w:r>
      <w:r>
        <w:rPr>
          <w:rFonts w:hint="eastAsia" w:ascii="仿宋_GB2312" w:eastAsia="仿宋_GB2312"/>
          <w:color w:val="000000"/>
          <w:sz w:val="24"/>
        </w:rPr>
        <w:t>；</w:t>
      </w:r>
    </w:p>
    <w:p w14:paraId="2C91171D">
      <w:pPr>
        <w:snapToGrid w:val="0"/>
        <w:spacing w:line="360" w:lineRule="auto"/>
        <w:ind w:firstLine="480" w:firstLineChars="200"/>
        <w:rPr>
          <w:rFonts w:ascii="仿宋_GB2312" w:eastAsia="仿宋_GB2312"/>
          <w:color w:val="000000"/>
          <w:sz w:val="24"/>
        </w:rPr>
      </w:pPr>
      <w:r>
        <w:rPr>
          <w:rFonts w:hint="eastAsia" w:ascii="仿宋_GB2312" w:hAnsi="华文仿宋" w:eastAsia="仿宋_GB2312"/>
          <w:sz w:val="24"/>
        </w:rPr>
        <w:t>5）同类</w:t>
      </w:r>
      <w:r>
        <w:rPr>
          <w:rFonts w:hint="eastAsia" w:ascii="仿宋_GB2312" w:hAnsi="宋体" w:eastAsia="仿宋_GB2312"/>
          <w:bCs/>
          <w:color w:val="000000"/>
          <w:sz w:val="24"/>
        </w:rPr>
        <w:t>项目的合同及验收报告</w:t>
      </w:r>
      <w:r>
        <w:rPr>
          <w:rFonts w:hint="eastAsia" w:ascii="仿宋_GB2312" w:eastAsia="仿宋_GB2312"/>
          <w:color w:val="000000"/>
          <w:sz w:val="24"/>
        </w:rPr>
        <w:t>；</w:t>
      </w:r>
    </w:p>
    <w:p w14:paraId="5928CA07">
      <w:pPr>
        <w:snapToGrid w:val="0"/>
        <w:spacing w:line="360" w:lineRule="auto"/>
        <w:ind w:firstLine="480" w:firstLineChars="200"/>
        <w:rPr>
          <w:rFonts w:ascii="仿宋_GB2312" w:eastAsia="仿宋_GB2312"/>
          <w:color w:val="000000"/>
          <w:sz w:val="24"/>
        </w:rPr>
      </w:pPr>
      <w:r>
        <w:rPr>
          <w:rFonts w:hint="eastAsia" w:ascii="仿宋_GB2312" w:eastAsia="仿宋_GB2312"/>
          <w:color w:val="000000"/>
          <w:sz w:val="24"/>
        </w:rPr>
        <w:t>6）</w:t>
      </w:r>
      <w:r>
        <w:rPr>
          <w:rFonts w:hint="eastAsia" w:ascii="仿宋_GB2312" w:hAnsi="仿宋_GB2312" w:eastAsia="仿宋_GB2312" w:cs="宋体"/>
          <w:kern w:val="0"/>
          <w:sz w:val="24"/>
        </w:rPr>
        <w:t>公司总部不在常州的投标人中标后15个工作日内在常州市区设立经工商注册的分公司或子公司的承诺（如有）；</w:t>
      </w:r>
    </w:p>
    <w:p w14:paraId="570BDC00">
      <w:pPr>
        <w:snapToGrid w:val="0"/>
        <w:spacing w:line="360" w:lineRule="auto"/>
        <w:ind w:firstLine="480" w:firstLineChars="200"/>
        <w:rPr>
          <w:rFonts w:ascii="仿宋_GB2312" w:hAnsi="华文仿宋" w:eastAsia="仿宋_GB2312"/>
          <w:iCs/>
          <w:sz w:val="24"/>
        </w:rPr>
      </w:pPr>
      <w:r>
        <w:rPr>
          <w:rFonts w:hint="eastAsia" w:ascii="仿宋_GB2312" w:hAnsi="华文仿宋" w:eastAsia="仿宋_GB2312"/>
          <w:sz w:val="24"/>
        </w:rPr>
        <w:t>7）</w:t>
      </w:r>
      <w:r>
        <w:rPr>
          <w:rFonts w:hint="eastAsia" w:ascii="仿宋_GB2312" w:hAnsi="华文仿宋" w:eastAsia="仿宋_GB2312"/>
          <w:iCs/>
          <w:sz w:val="24"/>
        </w:rPr>
        <w:t>其它能证明企业技术实力的证明；</w:t>
      </w:r>
    </w:p>
    <w:p w14:paraId="15B2F080">
      <w:pPr>
        <w:snapToGrid w:val="0"/>
        <w:spacing w:line="360" w:lineRule="auto"/>
        <w:ind w:firstLine="480" w:firstLineChars="200"/>
        <w:rPr>
          <w:rFonts w:ascii="仿宋_GB2312" w:hAnsi="华文仿宋" w:eastAsia="仿宋_GB2312"/>
          <w:sz w:val="24"/>
        </w:rPr>
      </w:pPr>
      <w:r>
        <w:rPr>
          <w:rFonts w:hint="eastAsia" w:ascii="仿宋_GB2312" w:hAnsi="华文仿宋" w:eastAsia="仿宋_GB2312"/>
          <w:sz w:val="24"/>
        </w:rPr>
        <w:t>8） 企业相关荣誉证明资料；</w:t>
      </w:r>
    </w:p>
    <w:p w14:paraId="3DD0861A">
      <w:pPr>
        <w:snapToGrid w:val="0"/>
        <w:spacing w:line="360" w:lineRule="auto"/>
        <w:ind w:firstLine="480" w:firstLineChars="200"/>
        <w:rPr>
          <w:rFonts w:ascii="仿宋_GB2312" w:hAnsi="华文仿宋" w:eastAsia="仿宋_GB2312"/>
          <w:sz w:val="24"/>
        </w:rPr>
      </w:pPr>
      <w:r>
        <w:rPr>
          <w:rFonts w:hint="eastAsia" w:ascii="仿宋_GB2312" w:hAnsi="华文仿宋" w:eastAsia="仿宋_GB2312"/>
          <w:sz w:val="24"/>
        </w:rPr>
        <w:t>9）其他投标人资格证明材料；</w:t>
      </w:r>
    </w:p>
    <w:p w14:paraId="1C17D732">
      <w:pPr>
        <w:snapToGrid w:val="0"/>
        <w:spacing w:line="360" w:lineRule="auto"/>
        <w:ind w:firstLine="480" w:firstLineChars="200"/>
        <w:rPr>
          <w:rFonts w:ascii="仿宋_GB2312" w:hAnsi="华文仿宋" w:eastAsia="仿宋_GB2312"/>
          <w:sz w:val="24"/>
        </w:rPr>
      </w:pPr>
      <w:r>
        <w:rPr>
          <w:rFonts w:hint="eastAsia" w:ascii="仿宋_GB2312" w:hAnsi="华文仿宋" w:eastAsia="仿宋_GB2312"/>
          <w:sz w:val="24"/>
        </w:rPr>
        <w:t>10）投标保证金收据复印件（原件携带至招标现场备查）。</w:t>
      </w:r>
    </w:p>
    <w:p w14:paraId="5C6994AA">
      <w:pPr>
        <w:adjustRightInd w:val="0"/>
        <w:snapToGrid w:val="0"/>
        <w:spacing w:line="360" w:lineRule="auto"/>
        <w:ind w:firstLine="482" w:firstLineChars="200"/>
        <w:rPr>
          <w:rFonts w:ascii="仿宋_GB2312" w:eastAsia="仿宋_GB2312"/>
          <w:b/>
          <w:sz w:val="24"/>
        </w:rPr>
      </w:pPr>
      <w:r>
        <w:rPr>
          <w:rFonts w:hint="eastAsia" w:ascii="仿宋_GB2312" w:eastAsia="仿宋_GB2312"/>
          <w:b/>
          <w:sz w:val="24"/>
        </w:rPr>
        <w:t>七、投标人应认真检查谈判文件的内容是否齐全，如有遗漏，应及时向招标人索取，否则责任自负。</w:t>
      </w:r>
    </w:p>
    <w:p w14:paraId="4933A9A6">
      <w:pPr>
        <w:adjustRightInd w:val="0"/>
        <w:snapToGrid w:val="0"/>
        <w:spacing w:line="360" w:lineRule="auto"/>
        <w:ind w:firstLine="482" w:firstLineChars="200"/>
        <w:rPr>
          <w:rFonts w:ascii="仿宋_GB2312" w:eastAsia="仿宋_GB2312"/>
          <w:b/>
          <w:sz w:val="24"/>
        </w:rPr>
      </w:pPr>
      <w:r>
        <w:rPr>
          <w:rFonts w:hint="eastAsia" w:ascii="仿宋_GB2312" w:eastAsia="仿宋_GB2312"/>
          <w:b/>
          <w:sz w:val="24"/>
        </w:rPr>
        <w:t> </w:t>
      </w:r>
    </w:p>
    <w:p w14:paraId="3E27FAEB">
      <w:pPr>
        <w:adjustRightInd w:val="0"/>
        <w:snapToGrid w:val="0"/>
        <w:spacing w:line="360" w:lineRule="auto"/>
        <w:ind w:firstLine="397"/>
        <w:rPr>
          <w:rFonts w:ascii="仿宋_GB2312" w:eastAsia="仿宋_GB2312"/>
          <w:b/>
          <w:bCs/>
          <w:sz w:val="24"/>
        </w:rPr>
      </w:pPr>
      <w:r>
        <w:rPr>
          <w:rFonts w:hint="eastAsia" w:ascii="仿宋_GB2312" w:eastAsia="仿宋_GB2312"/>
          <w:b/>
          <w:bCs/>
          <w:sz w:val="24"/>
        </w:rPr>
        <w:t>八、投标文件的制作应当符合以下要求：</w:t>
      </w:r>
    </w:p>
    <w:p w14:paraId="36520F00">
      <w:pPr>
        <w:adjustRightInd w:val="0"/>
        <w:snapToGrid w:val="0"/>
        <w:spacing w:line="360" w:lineRule="auto"/>
        <w:ind w:firstLine="720" w:firstLineChars="300"/>
        <w:rPr>
          <w:rFonts w:ascii="仿宋_GB2312" w:eastAsia="仿宋_GB2312"/>
          <w:bCs/>
          <w:sz w:val="24"/>
        </w:rPr>
      </w:pPr>
      <w:r>
        <w:rPr>
          <w:rFonts w:hint="eastAsia" w:ascii="仿宋_GB2312" w:eastAsia="仿宋_GB2312"/>
          <w:bCs/>
          <w:sz w:val="24"/>
        </w:rPr>
        <w:t>1、投标人必须依照谈判文件提供的表式制作投标文件，对表式投标人可以按同样格式进行扩展。</w:t>
      </w:r>
    </w:p>
    <w:p w14:paraId="0D3F1F76">
      <w:pPr>
        <w:adjustRightInd w:val="0"/>
        <w:snapToGrid w:val="0"/>
        <w:spacing w:line="360" w:lineRule="auto"/>
        <w:ind w:firstLine="636" w:firstLineChars="265"/>
        <w:rPr>
          <w:rFonts w:ascii="仿宋_GB2312" w:eastAsia="仿宋_GB2312"/>
          <w:bCs/>
          <w:sz w:val="24"/>
        </w:rPr>
      </w:pPr>
      <w:r>
        <w:rPr>
          <w:rFonts w:hint="eastAsia" w:ascii="仿宋_GB2312" w:eastAsia="仿宋_GB2312"/>
          <w:bCs/>
          <w:sz w:val="24"/>
        </w:rPr>
        <w:t>2、投标文件必须打印并应装订成册。</w:t>
      </w:r>
    </w:p>
    <w:p w14:paraId="1A4EC4E5">
      <w:pPr>
        <w:adjustRightInd w:val="0"/>
        <w:snapToGrid w:val="0"/>
        <w:spacing w:line="360" w:lineRule="auto"/>
        <w:ind w:firstLine="480" w:firstLineChars="200"/>
        <w:rPr>
          <w:rFonts w:ascii="仿宋_GB2312" w:eastAsia="仿宋_GB2312"/>
          <w:bCs/>
          <w:sz w:val="24"/>
        </w:rPr>
      </w:pPr>
      <w:r>
        <w:rPr>
          <w:rFonts w:hint="eastAsia" w:ascii="仿宋_GB2312" w:eastAsia="仿宋_GB2312"/>
          <w:bCs/>
          <w:sz w:val="24"/>
        </w:rPr>
        <w:t xml:space="preserve"> 3、全套投标文件应无修改和行间插字。如有修改，须在修改处加盖投标单位法定代表人或其委托代理人的印鉴。</w:t>
      </w:r>
    </w:p>
    <w:p w14:paraId="5E06A23C">
      <w:pPr>
        <w:adjustRightInd w:val="0"/>
        <w:snapToGrid w:val="0"/>
        <w:spacing w:line="360" w:lineRule="auto"/>
        <w:rPr>
          <w:rFonts w:ascii="仿宋_GB2312" w:eastAsia="仿宋_GB2312"/>
          <w:bCs/>
          <w:sz w:val="24"/>
        </w:rPr>
      </w:pPr>
      <w:r>
        <w:rPr>
          <w:rFonts w:hint="eastAsia" w:ascii="仿宋_GB2312" w:eastAsia="仿宋_GB2312"/>
          <w:bCs/>
          <w:sz w:val="24"/>
        </w:rPr>
        <w:t xml:space="preserve">     4、投标报价清晰准确，不存在影响其他投标人评分的严重错误。</w:t>
      </w:r>
    </w:p>
    <w:p w14:paraId="7739E7F8">
      <w:pPr>
        <w:adjustRightInd w:val="0"/>
        <w:snapToGrid w:val="0"/>
        <w:spacing w:line="360" w:lineRule="auto"/>
        <w:rPr>
          <w:rFonts w:ascii="仿宋_GB2312" w:eastAsia="仿宋_GB2312"/>
          <w:bCs/>
          <w:sz w:val="24"/>
        </w:rPr>
      </w:pPr>
      <w:r>
        <w:rPr>
          <w:rFonts w:hint="eastAsia" w:ascii="仿宋_GB2312" w:eastAsia="仿宋_GB2312"/>
          <w:bCs/>
          <w:sz w:val="24"/>
        </w:rPr>
        <w:t> </w:t>
      </w:r>
    </w:p>
    <w:p w14:paraId="13A174E6">
      <w:pPr>
        <w:adjustRightInd w:val="0"/>
        <w:snapToGrid w:val="0"/>
        <w:spacing w:line="360" w:lineRule="auto"/>
        <w:ind w:firstLine="240"/>
        <w:rPr>
          <w:rFonts w:ascii="仿宋_GB2312" w:eastAsia="仿宋_GB2312"/>
          <w:b/>
          <w:sz w:val="24"/>
        </w:rPr>
      </w:pPr>
      <w:r>
        <w:rPr>
          <w:rFonts w:hint="eastAsia" w:ascii="仿宋_GB2312" w:eastAsia="仿宋_GB2312"/>
          <w:b/>
          <w:sz w:val="24"/>
        </w:rPr>
        <w:t>九、在投标截止时间之前的投标均为可以接受的投标。</w:t>
      </w:r>
    </w:p>
    <w:p w14:paraId="7E39B46B">
      <w:pPr>
        <w:adjustRightInd w:val="0"/>
        <w:snapToGrid w:val="0"/>
        <w:spacing w:line="360" w:lineRule="auto"/>
        <w:ind w:firstLine="240"/>
        <w:rPr>
          <w:rFonts w:ascii="仿宋_GB2312" w:eastAsia="仿宋_GB2312"/>
          <w:b/>
          <w:sz w:val="24"/>
        </w:rPr>
      </w:pPr>
    </w:p>
    <w:p w14:paraId="040CC05C">
      <w:pPr>
        <w:adjustRightInd w:val="0"/>
        <w:snapToGrid w:val="0"/>
        <w:spacing w:line="360" w:lineRule="auto"/>
        <w:ind w:firstLine="240"/>
        <w:jc w:val="center"/>
        <w:rPr>
          <w:rFonts w:ascii="仿宋_GB2312" w:eastAsia="仿宋_GB2312"/>
          <w:b/>
          <w:sz w:val="32"/>
          <w:szCs w:val="20"/>
        </w:rPr>
      </w:pPr>
      <w:r>
        <w:rPr>
          <w:rFonts w:hint="eastAsia" w:ascii="仿宋_GB2312" w:eastAsia="仿宋_GB2312"/>
          <w:b/>
          <w:sz w:val="32"/>
        </w:rPr>
        <w:t>第四章   投标文件密封和递交 </w:t>
      </w:r>
    </w:p>
    <w:p w14:paraId="650C51D4">
      <w:pPr>
        <w:adjustRightInd w:val="0"/>
        <w:snapToGrid w:val="0"/>
        <w:spacing w:line="360" w:lineRule="auto"/>
        <w:ind w:firstLine="397"/>
        <w:rPr>
          <w:rFonts w:ascii="仿宋_GB2312" w:eastAsia="仿宋_GB2312"/>
          <w:b/>
          <w:sz w:val="24"/>
          <w:szCs w:val="20"/>
        </w:rPr>
      </w:pPr>
      <w:r>
        <w:rPr>
          <w:rFonts w:hint="eastAsia" w:ascii="仿宋_GB2312" w:eastAsia="仿宋_GB2312"/>
          <w:b/>
          <w:sz w:val="24"/>
        </w:rPr>
        <w:t>十、投标文件的密封与标志</w:t>
      </w:r>
    </w:p>
    <w:p w14:paraId="412615DE">
      <w:pPr>
        <w:adjustRightInd w:val="0"/>
        <w:snapToGrid w:val="0"/>
        <w:spacing w:line="360" w:lineRule="auto"/>
        <w:ind w:firstLine="397"/>
        <w:rPr>
          <w:rFonts w:ascii="仿宋_GB2312" w:eastAsia="仿宋_GB2312"/>
          <w:sz w:val="24"/>
          <w:szCs w:val="20"/>
        </w:rPr>
      </w:pPr>
      <w:r>
        <w:rPr>
          <w:rFonts w:hint="eastAsia" w:ascii="仿宋_GB2312" w:eastAsia="仿宋_GB2312"/>
          <w:sz w:val="24"/>
        </w:rPr>
        <w:t>1、投标人应将投标文件密封。</w:t>
      </w:r>
    </w:p>
    <w:p w14:paraId="74BC4F61">
      <w:pPr>
        <w:adjustRightInd w:val="0"/>
        <w:snapToGrid w:val="0"/>
        <w:spacing w:line="360" w:lineRule="auto"/>
        <w:ind w:firstLine="397"/>
        <w:rPr>
          <w:rFonts w:ascii="仿宋_GB2312" w:eastAsia="仿宋_GB2312"/>
          <w:sz w:val="24"/>
          <w:szCs w:val="20"/>
        </w:rPr>
      </w:pPr>
      <w:r>
        <w:rPr>
          <w:rFonts w:hint="eastAsia" w:ascii="仿宋_GB2312" w:eastAsia="仿宋_GB2312"/>
          <w:sz w:val="24"/>
        </w:rPr>
        <w:t>2、所有封袋上都应写明投标人名称、招标人名称、招标项目名称。</w:t>
      </w:r>
    </w:p>
    <w:p w14:paraId="7B371909">
      <w:pPr>
        <w:adjustRightInd w:val="0"/>
        <w:snapToGrid w:val="0"/>
        <w:spacing w:line="360" w:lineRule="auto"/>
        <w:ind w:firstLine="397"/>
        <w:rPr>
          <w:rFonts w:ascii="仿宋_GB2312" w:eastAsia="仿宋_GB2312"/>
          <w:sz w:val="24"/>
          <w:szCs w:val="20"/>
        </w:rPr>
      </w:pPr>
      <w:r>
        <w:rPr>
          <w:rFonts w:hint="eastAsia" w:ascii="仿宋_GB2312" w:eastAsia="仿宋_GB2312"/>
          <w:sz w:val="24"/>
        </w:rPr>
        <w:t>3、所有投标文件都必须在封袋骑缝处加盖投标人公章。</w:t>
      </w:r>
    </w:p>
    <w:p w14:paraId="5497A654">
      <w:pPr>
        <w:adjustRightInd w:val="0"/>
        <w:snapToGrid w:val="0"/>
        <w:spacing w:line="360" w:lineRule="auto"/>
        <w:ind w:firstLine="397"/>
        <w:rPr>
          <w:rFonts w:ascii="仿宋_GB2312" w:eastAsia="仿宋_GB2312"/>
          <w:sz w:val="24"/>
          <w:szCs w:val="20"/>
        </w:rPr>
      </w:pPr>
      <w:r>
        <w:rPr>
          <w:rFonts w:hint="eastAsia" w:ascii="仿宋_GB2312" w:eastAsia="仿宋_GB2312"/>
          <w:sz w:val="24"/>
        </w:rPr>
        <w:t>4、投标人未按上述规定提交投标文件，其投标文件将被拒绝，并原封退还给投标人。</w:t>
      </w:r>
    </w:p>
    <w:p w14:paraId="307ADC38">
      <w:pPr>
        <w:adjustRightInd w:val="0"/>
        <w:snapToGrid w:val="0"/>
        <w:spacing w:line="360" w:lineRule="auto"/>
        <w:ind w:firstLine="397"/>
        <w:rPr>
          <w:rFonts w:ascii="仿宋_GB2312" w:eastAsia="仿宋_GB2312"/>
          <w:sz w:val="24"/>
          <w:szCs w:val="20"/>
        </w:rPr>
      </w:pPr>
      <w:r>
        <w:rPr>
          <w:rFonts w:hint="eastAsia" w:ascii="仿宋_GB2312" w:eastAsia="仿宋_GB2312"/>
          <w:sz w:val="24"/>
        </w:rPr>
        <w:t> </w:t>
      </w:r>
    </w:p>
    <w:p w14:paraId="7E04BA6D">
      <w:pPr>
        <w:adjustRightInd w:val="0"/>
        <w:snapToGrid w:val="0"/>
        <w:spacing w:line="360" w:lineRule="auto"/>
        <w:ind w:firstLine="397"/>
        <w:rPr>
          <w:rFonts w:ascii="仿宋_GB2312" w:eastAsia="仿宋_GB2312"/>
          <w:b/>
          <w:sz w:val="24"/>
          <w:szCs w:val="20"/>
        </w:rPr>
      </w:pPr>
      <w:r>
        <w:rPr>
          <w:rFonts w:hint="eastAsia" w:ascii="仿宋_GB2312" w:eastAsia="仿宋_GB2312"/>
          <w:b/>
          <w:sz w:val="24"/>
        </w:rPr>
        <w:t>十一、投标截止时间</w:t>
      </w:r>
    </w:p>
    <w:p w14:paraId="0688E001">
      <w:pPr>
        <w:adjustRightInd w:val="0"/>
        <w:snapToGrid w:val="0"/>
        <w:spacing w:line="360" w:lineRule="auto"/>
        <w:ind w:firstLine="397"/>
        <w:rPr>
          <w:rFonts w:ascii="仿宋_GB2312" w:eastAsia="仿宋_GB2312"/>
          <w:sz w:val="24"/>
          <w:szCs w:val="20"/>
        </w:rPr>
      </w:pPr>
      <w:r>
        <w:rPr>
          <w:rFonts w:hint="eastAsia" w:ascii="仿宋_GB2312" w:eastAsia="仿宋_GB2312"/>
          <w:sz w:val="24"/>
        </w:rPr>
        <w:t>2015年10月29日上午9:30。</w:t>
      </w:r>
    </w:p>
    <w:p w14:paraId="262E24D6">
      <w:pPr>
        <w:adjustRightInd w:val="0"/>
        <w:snapToGrid w:val="0"/>
        <w:spacing w:line="360" w:lineRule="auto"/>
        <w:ind w:firstLine="397"/>
        <w:rPr>
          <w:rFonts w:ascii="仿宋_GB2312" w:eastAsia="仿宋_GB2312"/>
          <w:sz w:val="24"/>
          <w:szCs w:val="20"/>
        </w:rPr>
      </w:pPr>
      <w:r>
        <w:rPr>
          <w:rFonts w:hint="eastAsia" w:ascii="仿宋_GB2312" w:eastAsia="仿宋_GB2312"/>
          <w:sz w:val="24"/>
        </w:rPr>
        <w:t> </w:t>
      </w:r>
    </w:p>
    <w:p w14:paraId="113B9F5C">
      <w:pPr>
        <w:adjustRightInd w:val="0"/>
        <w:snapToGrid w:val="0"/>
        <w:spacing w:line="360" w:lineRule="auto"/>
        <w:ind w:firstLine="397"/>
        <w:rPr>
          <w:rFonts w:ascii="仿宋_GB2312" w:eastAsia="仿宋_GB2312"/>
          <w:b/>
          <w:sz w:val="24"/>
          <w:szCs w:val="20"/>
        </w:rPr>
      </w:pPr>
      <w:r>
        <w:rPr>
          <w:rFonts w:hint="eastAsia" w:ascii="仿宋_GB2312" w:eastAsia="仿宋_GB2312"/>
          <w:b/>
          <w:sz w:val="24"/>
        </w:rPr>
        <w:t>十二、投标文件的修改和撤回</w:t>
      </w:r>
    </w:p>
    <w:p w14:paraId="740882A0">
      <w:pPr>
        <w:adjustRightInd w:val="0"/>
        <w:snapToGrid w:val="0"/>
        <w:spacing w:line="360" w:lineRule="auto"/>
        <w:ind w:firstLine="516" w:firstLineChars="215"/>
        <w:rPr>
          <w:rFonts w:ascii="仿宋_GB2312" w:eastAsia="仿宋_GB2312"/>
          <w:sz w:val="24"/>
        </w:rPr>
      </w:pPr>
      <w:r>
        <w:rPr>
          <w:rFonts w:hint="eastAsia" w:ascii="仿宋_GB2312" w:eastAsia="仿宋_GB2312"/>
          <w:sz w:val="24"/>
        </w:rPr>
        <w:t>在投标截止时间之前，投标人可对所递交的投标文件进行修改和撤回，但所递交的修改或撤回通知必须按谈判文件的规定进行编制、密封、标志（在包封上标明“修改”或“撤回”字样，并注明修改或撤回的时间）和递交。投标截止时间之后，投标人不得修改或撤回投标文件。</w:t>
      </w:r>
    </w:p>
    <w:p w14:paraId="44BA97F0">
      <w:pPr>
        <w:adjustRightInd w:val="0"/>
        <w:snapToGrid w:val="0"/>
        <w:spacing w:line="360" w:lineRule="auto"/>
        <w:ind w:firstLine="516" w:firstLineChars="215"/>
        <w:rPr>
          <w:rFonts w:ascii="仿宋_GB2312" w:eastAsia="仿宋_GB2312"/>
          <w:sz w:val="24"/>
          <w:szCs w:val="20"/>
        </w:rPr>
      </w:pPr>
    </w:p>
    <w:p w14:paraId="6AB18192">
      <w:pPr>
        <w:adjustRightInd w:val="0"/>
        <w:snapToGrid w:val="0"/>
        <w:spacing w:line="360" w:lineRule="auto"/>
        <w:ind w:firstLine="397"/>
        <w:jc w:val="center"/>
        <w:rPr>
          <w:rFonts w:ascii="仿宋_GB2312" w:eastAsia="仿宋_GB2312"/>
          <w:b/>
          <w:sz w:val="32"/>
          <w:szCs w:val="20"/>
        </w:rPr>
      </w:pPr>
      <w:r>
        <w:rPr>
          <w:rFonts w:hint="eastAsia" w:ascii="仿宋_GB2312" w:eastAsia="仿宋_GB2312"/>
          <w:b/>
          <w:sz w:val="32"/>
        </w:rPr>
        <w:t>第五章   投标报价</w:t>
      </w:r>
    </w:p>
    <w:p w14:paraId="11BE81A5">
      <w:pPr>
        <w:adjustRightInd w:val="0"/>
        <w:snapToGrid w:val="0"/>
        <w:spacing w:line="360" w:lineRule="auto"/>
        <w:ind w:firstLine="395" w:firstLineChars="164"/>
        <w:rPr>
          <w:rFonts w:ascii="仿宋_GB2312" w:eastAsia="仿宋_GB2312"/>
          <w:b/>
          <w:sz w:val="24"/>
        </w:rPr>
      </w:pPr>
    </w:p>
    <w:p w14:paraId="748374D2">
      <w:pPr>
        <w:adjustRightInd w:val="0"/>
        <w:snapToGrid w:val="0"/>
        <w:spacing w:line="360" w:lineRule="auto"/>
        <w:ind w:firstLine="395" w:firstLineChars="164"/>
        <w:rPr>
          <w:rFonts w:ascii="仿宋_GB2312" w:hAnsi="宋体" w:eastAsia="仿宋_GB2312"/>
          <w:b/>
          <w:color w:val="000000"/>
          <w:sz w:val="24"/>
        </w:rPr>
      </w:pPr>
      <w:r>
        <w:rPr>
          <w:rFonts w:hint="eastAsia" w:ascii="仿宋_GB2312" w:eastAsia="仿宋_GB2312"/>
          <w:b/>
          <w:sz w:val="24"/>
        </w:rPr>
        <w:t>十三、</w:t>
      </w:r>
      <w:r>
        <w:rPr>
          <w:rFonts w:hint="eastAsia" w:ascii="仿宋_GB2312" w:eastAsia="仿宋_GB2312"/>
          <w:b/>
          <w:color w:val="000000"/>
          <w:sz w:val="24"/>
        </w:rPr>
        <w:t>投标总价应包括招标文件所确定的招标范围</w:t>
      </w:r>
      <w:r>
        <w:rPr>
          <w:rFonts w:hint="eastAsia" w:ascii="仿宋_GB2312" w:hAnsi="宋体" w:eastAsia="仿宋_GB2312"/>
          <w:b/>
          <w:bCs/>
          <w:sz w:val="24"/>
        </w:rPr>
        <w:t>包括项目分析、设计、开发、编制、安装、调试、培训、维护、验收及完成整个项目所产生的其它所有费用。</w:t>
      </w:r>
      <w:r>
        <w:rPr>
          <w:rFonts w:hint="eastAsia" w:ascii="仿宋_GB2312" w:hAnsi="宋体" w:eastAsia="仿宋_GB2312"/>
          <w:b/>
          <w:color w:val="000000"/>
          <w:sz w:val="24"/>
        </w:rPr>
        <w:t>招标人不承担任何增项费用。</w:t>
      </w:r>
    </w:p>
    <w:p w14:paraId="6FE748BC">
      <w:pPr>
        <w:adjustRightInd w:val="0"/>
        <w:snapToGrid w:val="0"/>
        <w:spacing w:line="360" w:lineRule="auto"/>
        <w:ind w:firstLine="395" w:firstLineChars="164"/>
        <w:rPr>
          <w:rFonts w:ascii="仿宋_GB2312" w:eastAsia="仿宋_GB2312"/>
          <w:b/>
          <w:sz w:val="24"/>
        </w:rPr>
      </w:pPr>
      <w:r>
        <w:rPr>
          <w:rFonts w:hint="eastAsia" w:ascii="仿宋_GB2312" w:hAnsi="宋体" w:eastAsia="仿宋_GB2312"/>
          <w:b/>
          <w:color w:val="000000"/>
          <w:sz w:val="24"/>
        </w:rPr>
        <w:t>本项目设定最高限价为</w:t>
      </w:r>
      <w:r>
        <w:rPr>
          <w:rFonts w:hint="eastAsia" w:ascii="仿宋_GB2312" w:hAnsi="宋体" w:eastAsia="仿宋_GB2312"/>
          <w:b/>
          <w:color w:val="000000"/>
          <w:sz w:val="24"/>
          <w:u w:val="single"/>
        </w:rPr>
        <w:t>95万</w:t>
      </w:r>
      <w:r>
        <w:rPr>
          <w:rFonts w:hint="eastAsia" w:ascii="仿宋_GB2312" w:hAnsi="宋体" w:eastAsia="仿宋_GB2312"/>
          <w:b/>
          <w:color w:val="000000"/>
          <w:sz w:val="24"/>
        </w:rPr>
        <w:t>元</w:t>
      </w:r>
      <w:r>
        <w:rPr>
          <w:rFonts w:hint="eastAsia" w:ascii="仿宋_GB2312" w:hAnsi="宋体" w:eastAsia="仿宋_GB2312"/>
          <w:color w:val="000000"/>
          <w:sz w:val="24"/>
        </w:rPr>
        <w:t>，</w:t>
      </w:r>
      <w:r>
        <w:rPr>
          <w:rFonts w:hint="eastAsia" w:ascii="仿宋_GB2312" w:eastAsia="仿宋_GB2312"/>
          <w:b/>
          <w:sz w:val="24"/>
        </w:rPr>
        <w:t>各投标人的投标报价不得高于最高限价，对高于最高限价的投标书将被作为无效投标文件处理。</w:t>
      </w:r>
    </w:p>
    <w:p w14:paraId="3FAEE5EA">
      <w:pPr>
        <w:adjustRightInd w:val="0"/>
        <w:snapToGrid w:val="0"/>
        <w:spacing w:line="360" w:lineRule="auto"/>
        <w:ind w:firstLine="397"/>
        <w:rPr>
          <w:rFonts w:ascii="仿宋_GB2312" w:eastAsia="仿宋_GB2312"/>
          <w:b/>
          <w:sz w:val="24"/>
        </w:rPr>
      </w:pPr>
      <w:r>
        <w:rPr>
          <w:rFonts w:hint="eastAsia" w:ascii="仿宋_GB2312" w:eastAsia="仿宋_GB2312"/>
          <w:b/>
          <w:sz w:val="24"/>
        </w:rPr>
        <w:t> </w:t>
      </w:r>
    </w:p>
    <w:p w14:paraId="270CD4CE">
      <w:pPr>
        <w:adjustRightInd w:val="0"/>
        <w:snapToGrid w:val="0"/>
        <w:spacing w:line="360" w:lineRule="auto"/>
        <w:ind w:firstLine="397"/>
        <w:rPr>
          <w:rFonts w:ascii="仿宋_GB2312" w:eastAsia="仿宋_GB2312"/>
          <w:b/>
          <w:sz w:val="24"/>
        </w:rPr>
      </w:pPr>
      <w:r>
        <w:rPr>
          <w:rFonts w:hint="eastAsia" w:ascii="仿宋_GB2312" w:eastAsia="仿宋_GB2312"/>
          <w:b/>
          <w:sz w:val="24"/>
        </w:rPr>
        <w:t>十四、投标报价方式</w:t>
      </w:r>
    </w:p>
    <w:p w14:paraId="670A0EB2">
      <w:pPr>
        <w:snapToGrid w:val="0"/>
        <w:spacing w:line="360" w:lineRule="auto"/>
        <w:ind w:firstLine="420"/>
        <w:rPr>
          <w:rFonts w:ascii="仿宋_GB2312" w:hAnsi="宋体" w:eastAsia="仿宋_GB2312"/>
          <w:sz w:val="24"/>
        </w:rPr>
      </w:pPr>
      <w:r>
        <w:rPr>
          <w:rFonts w:hint="eastAsia" w:ascii="仿宋_GB2312" w:hAnsi="宋体" w:eastAsia="仿宋_GB2312"/>
          <w:sz w:val="24"/>
        </w:rPr>
        <w:t>1、投标人应按照谈判文件中提供的格式完整、正确填写投标书、开标一览表。</w:t>
      </w:r>
    </w:p>
    <w:p w14:paraId="5BBFF2AE">
      <w:pPr>
        <w:snapToGrid w:val="0"/>
        <w:spacing w:line="360" w:lineRule="auto"/>
        <w:ind w:firstLine="420"/>
        <w:rPr>
          <w:rFonts w:ascii="仿宋_GB2312" w:hAnsi="宋体" w:eastAsia="仿宋_GB2312"/>
          <w:color w:val="0000FF"/>
          <w:sz w:val="24"/>
        </w:rPr>
      </w:pPr>
      <w:r>
        <w:rPr>
          <w:rFonts w:hint="eastAsia" w:ascii="仿宋_GB2312" w:hAnsi="宋体" w:eastAsia="仿宋_GB2312"/>
          <w:sz w:val="24"/>
        </w:rPr>
        <w:t>2、投标人应按照谈判文件规定格式填报投标报价表（含分项报价），</w:t>
      </w:r>
      <w:r>
        <w:rPr>
          <w:rFonts w:hint="eastAsia" w:ascii="仿宋_GB2312" w:hAnsi="Calibri" w:eastAsia="仿宋_GB2312"/>
          <w:color w:val="000000"/>
          <w:sz w:val="24"/>
          <w:szCs w:val="22"/>
        </w:rPr>
        <w:t>投标报价</w:t>
      </w:r>
      <w:r>
        <w:rPr>
          <w:rFonts w:hint="eastAsia" w:ascii="仿宋_GB2312" w:hAnsi="宋体" w:eastAsia="仿宋_GB2312"/>
          <w:sz w:val="24"/>
        </w:rPr>
        <w:t>包括软件分析、设计、开发、编制、安装、调试、测试、培训、维护、验收及完成整个项目所产生的其他所有费用</w:t>
      </w:r>
      <w:r>
        <w:rPr>
          <w:rFonts w:hint="eastAsia" w:ascii="仿宋_GB2312" w:hAnsi="宋体" w:eastAsia="仿宋_GB2312"/>
          <w:bCs/>
          <w:color w:val="000000"/>
          <w:sz w:val="24"/>
          <w:szCs w:val="22"/>
        </w:rPr>
        <w:t>。</w:t>
      </w:r>
      <w:r>
        <w:rPr>
          <w:rFonts w:hint="eastAsia" w:ascii="仿宋_GB2312" w:hAnsi="宋体" w:eastAsia="仿宋_GB2312"/>
          <w:sz w:val="24"/>
        </w:rPr>
        <w:t>如果投标单价和总价不符，以单价为准。</w:t>
      </w:r>
    </w:p>
    <w:p w14:paraId="1913331E">
      <w:pPr>
        <w:snapToGrid w:val="0"/>
        <w:spacing w:line="360" w:lineRule="auto"/>
        <w:ind w:firstLine="420"/>
        <w:rPr>
          <w:rFonts w:ascii="仿宋_GB2312" w:eastAsia="仿宋_GB2312"/>
          <w:bCs/>
          <w:sz w:val="24"/>
        </w:rPr>
      </w:pPr>
      <w:r>
        <w:rPr>
          <w:rFonts w:hint="eastAsia" w:ascii="仿宋_GB2312" w:hAnsi="宋体" w:eastAsia="仿宋_GB2312"/>
          <w:sz w:val="24"/>
        </w:rPr>
        <w:t>3、</w:t>
      </w:r>
      <w:r>
        <w:rPr>
          <w:rFonts w:hint="eastAsia" w:ascii="仿宋_GB2312" w:eastAsia="仿宋_GB2312"/>
          <w:bCs/>
          <w:sz w:val="24"/>
        </w:rPr>
        <w:t>投标人需对每部分报价包含的服务内容进行明确说明。如有特别承诺，也需明确说明。</w:t>
      </w:r>
    </w:p>
    <w:p w14:paraId="09FEC587">
      <w:pPr>
        <w:snapToGrid w:val="0"/>
        <w:spacing w:line="360" w:lineRule="auto"/>
        <w:ind w:firstLine="420"/>
        <w:rPr>
          <w:rFonts w:ascii="仿宋_GB2312" w:eastAsia="仿宋_GB2312"/>
          <w:b/>
          <w:bCs/>
          <w:sz w:val="24"/>
        </w:rPr>
      </w:pPr>
      <w:r>
        <w:rPr>
          <w:rFonts w:hint="eastAsia" w:ascii="仿宋_GB2312" w:eastAsia="仿宋_GB2312"/>
          <w:b/>
          <w:bCs/>
          <w:sz w:val="24"/>
        </w:rPr>
        <w:t>4、本投标报价为首轮报价，在谈判过程中投标人还有至少一次的报价机会。</w:t>
      </w:r>
    </w:p>
    <w:p w14:paraId="28D2A58D">
      <w:pPr>
        <w:snapToGrid w:val="0"/>
        <w:spacing w:line="360" w:lineRule="auto"/>
        <w:ind w:firstLine="420"/>
        <w:rPr>
          <w:rFonts w:ascii="仿宋_GB2312" w:eastAsia="仿宋_GB2312"/>
          <w:b/>
          <w:bCs/>
          <w:sz w:val="24"/>
        </w:rPr>
      </w:pPr>
      <w:r>
        <w:rPr>
          <w:rFonts w:hint="eastAsia" w:ascii="仿宋_GB2312" w:eastAsia="仿宋_GB2312"/>
          <w:b/>
          <w:bCs/>
          <w:sz w:val="24"/>
        </w:rPr>
        <w:t>5、中标人的最终报价将在宣布中标结果时予以公布。</w:t>
      </w:r>
    </w:p>
    <w:p w14:paraId="291E208D">
      <w:pPr>
        <w:snapToGrid w:val="0"/>
        <w:spacing w:line="360" w:lineRule="auto"/>
        <w:ind w:firstLine="420"/>
        <w:rPr>
          <w:rFonts w:ascii="仿宋_GB2312" w:eastAsia="仿宋_GB2312"/>
          <w:b/>
          <w:bCs/>
          <w:sz w:val="24"/>
          <w:u w:val="single"/>
        </w:rPr>
      </w:pPr>
    </w:p>
    <w:p w14:paraId="4448B1FF">
      <w:pPr>
        <w:snapToGrid w:val="0"/>
        <w:spacing w:line="360" w:lineRule="auto"/>
        <w:rPr>
          <w:rFonts w:ascii="仿宋_GB2312" w:hAnsi="宋体" w:eastAsia="仿宋_GB2312"/>
          <w:szCs w:val="20"/>
        </w:rPr>
      </w:pPr>
    </w:p>
    <w:p w14:paraId="609E5D34">
      <w:pPr>
        <w:adjustRightInd w:val="0"/>
        <w:snapToGrid w:val="0"/>
        <w:spacing w:line="336" w:lineRule="auto"/>
        <w:ind w:left="397"/>
        <w:jc w:val="center"/>
        <w:rPr>
          <w:rFonts w:ascii="仿宋_GB2312" w:eastAsia="仿宋_GB2312"/>
          <w:b/>
          <w:sz w:val="32"/>
          <w:szCs w:val="20"/>
        </w:rPr>
      </w:pPr>
      <w:r>
        <w:rPr>
          <w:rFonts w:hint="eastAsia" w:ascii="仿宋_GB2312" w:eastAsia="仿宋_GB2312"/>
          <w:b/>
          <w:sz w:val="32"/>
        </w:rPr>
        <w:t>第六章   开标、谈判、定标</w:t>
      </w:r>
    </w:p>
    <w:p w14:paraId="09637B55">
      <w:pPr>
        <w:adjustRightInd w:val="0"/>
        <w:snapToGrid w:val="0"/>
        <w:spacing w:line="336" w:lineRule="auto"/>
        <w:ind w:left="397"/>
        <w:jc w:val="center"/>
        <w:rPr>
          <w:rFonts w:ascii="仿宋_GB2312" w:eastAsia="仿宋_GB2312"/>
          <w:b/>
          <w:sz w:val="32"/>
          <w:szCs w:val="20"/>
        </w:rPr>
      </w:pPr>
      <w:r>
        <w:rPr>
          <w:rFonts w:hint="eastAsia" w:ascii="仿宋_GB2312" w:eastAsia="仿宋_GB2312"/>
          <w:b/>
          <w:sz w:val="32"/>
        </w:rPr>
        <w:t> </w:t>
      </w:r>
    </w:p>
    <w:p w14:paraId="22AD65EF">
      <w:pPr>
        <w:adjustRightInd w:val="0"/>
        <w:snapToGrid w:val="0"/>
        <w:spacing w:line="360" w:lineRule="auto"/>
        <w:ind w:firstLine="397"/>
        <w:rPr>
          <w:rFonts w:ascii="仿宋_GB2312" w:eastAsia="仿宋_GB2312"/>
          <w:b/>
          <w:bCs/>
          <w:sz w:val="24"/>
        </w:rPr>
      </w:pPr>
      <w:r>
        <w:rPr>
          <w:rFonts w:hint="eastAsia" w:ascii="仿宋_GB2312" w:eastAsia="仿宋_GB2312"/>
          <w:b/>
          <w:bCs/>
          <w:sz w:val="24"/>
        </w:rPr>
        <w:t>十五、开标谈判会议时间和地点</w:t>
      </w:r>
    </w:p>
    <w:p w14:paraId="2B6B124B">
      <w:pPr>
        <w:adjustRightInd w:val="0"/>
        <w:snapToGrid w:val="0"/>
        <w:spacing w:line="360" w:lineRule="auto"/>
        <w:ind w:firstLine="397"/>
        <w:rPr>
          <w:rFonts w:ascii="仿宋_GB2312" w:eastAsia="仿宋_GB2312"/>
          <w:bCs/>
          <w:sz w:val="24"/>
        </w:rPr>
      </w:pPr>
      <w:r>
        <w:rPr>
          <w:rFonts w:hint="eastAsia" w:ascii="仿宋_GB2312" w:eastAsia="仿宋_GB2312"/>
          <w:bCs/>
          <w:sz w:val="24"/>
        </w:rPr>
        <w:t>投标文件截止的时间即为开标时间：</w:t>
      </w:r>
      <w:r>
        <w:rPr>
          <w:rFonts w:hint="eastAsia" w:ascii="仿宋_GB2312" w:eastAsia="仿宋_GB2312"/>
          <w:sz w:val="24"/>
        </w:rPr>
        <w:t>2015年10月29日上午9:30分</w:t>
      </w:r>
      <w:r>
        <w:rPr>
          <w:rFonts w:hint="eastAsia" w:ascii="仿宋_GB2312" w:eastAsia="仿宋_GB2312"/>
          <w:bCs/>
          <w:sz w:val="24"/>
        </w:rPr>
        <w:t>。</w:t>
      </w:r>
    </w:p>
    <w:p w14:paraId="4941B39C">
      <w:pPr>
        <w:adjustRightInd w:val="0"/>
        <w:snapToGrid w:val="0"/>
        <w:spacing w:line="360" w:lineRule="auto"/>
        <w:ind w:firstLine="397"/>
        <w:rPr>
          <w:rFonts w:ascii="仿宋_GB2312" w:eastAsia="仿宋_GB2312"/>
          <w:bCs/>
          <w:sz w:val="24"/>
        </w:rPr>
      </w:pPr>
      <w:r>
        <w:rPr>
          <w:rFonts w:hint="eastAsia" w:ascii="仿宋_GB2312" w:eastAsia="仿宋_GB2312"/>
          <w:bCs/>
          <w:sz w:val="24"/>
        </w:rPr>
        <w:t>开标地点：常州市关河东路66号、九洲环宇16楼B座1605会议室。</w:t>
      </w:r>
    </w:p>
    <w:p w14:paraId="6621EB47">
      <w:pPr>
        <w:adjustRightInd w:val="0"/>
        <w:snapToGrid w:val="0"/>
        <w:spacing w:line="360" w:lineRule="auto"/>
        <w:ind w:firstLine="397"/>
        <w:rPr>
          <w:rFonts w:ascii="仿宋_GB2312" w:eastAsia="仿宋_GB2312"/>
          <w:bCs/>
          <w:sz w:val="24"/>
        </w:rPr>
      </w:pPr>
      <w:r>
        <w:rPr>
          <w:rFonts w:hint="eastAsia" w:ascii="仿宋_GB2312" w:eastAsia="仿宋_GB2312"/>
          <w:bCs/>
          <w:sz w:val="24"/>
        </w:rPr>
        <w:t> </w:t>
      </w:r>
    </w:p>
    <w:p w14:paraId="02E12EF8">
      <w:pPr>
        <w:adjustRightInd w:val="0"/>
        <w:snapToGrid w:val="0"/>
        <w:spacing w:line="360" w:lineRule="auto"/>
        <w:ind w:firstLine="397"/>
        <w:rPr>
          <w:rFonts w:ascii="仿宋_GB2312" w:eastAsia="仿宋_GB2312"/>
          <w:b/>
          <w:sz w:val="24"/>
        </w:rPr>
      </w:pPr>
      <w:r>
        <w:rPr>
          <w:rFonts w:hint="eastAsia" w:ascii="仿宋_GB2312" w:eastAsia="仿宋_GB2312"/>
          <w:b/>
          <w:sz w:val="24"/>
        </w:rPr>
        <w:t>十六、评审、定标方法</w:t>
      </w:r>
    </w:p>
    <w:p w14:paraId="18F517EF">
      <w:pPr>
        <w:adjustRightInd w:val="0"/>
        <w:snapToGrid w:val="0"/>
        <w:spacing w:line="360" w:lineRule="auto"/>
        <w:ind w:firstLine="397"/>
        <w:rPr>
          <w:rFonts w:ascii="仿宋_GB2312" w:eastAsia="仿宋_GB2312"/>
          <w:sz w:val="24"/>
        </w:rPr>
      </w:pPr>
      <w:r>
        <w:rPr>
          <w:rFonts w:hint="eastAsia" w:ascii="仿宋_GB2312" w:eastAsia="仿宋_GB2312"/>
          <w:sz w:val="24"/>
        </w:rPr>
        <w:t>招标人针对标的具体情况，采用</w:t>
      </w:r>
      <w:r>
        <w:rPr>
          <w:rFonts w:hint="eastAsia" w:ascii="仿宋_GB2312" w:eastAsia="仿宋_GB2312"/>
          <w:b/>
          <w:sz w:val="24"/>
          <w:u w:val="single"/>
        </w:rPr>
        <w:t>最低评标价</w:t>
      </w:r>
      <w:r>
        <w:rPr>
          <w:rFonts w:hint="eastAsia" w:ascii="仿宋_GB2312" w:eastAsia="仿宋_GB2312"/>
          <w:sz w:val="24"/>
        </w:rPr>
        <w:t>的评审方法。即</w:t>
      </w:r>
      <w:r>
        <w:rPr>
          <w:rFonts w:hint="eastAsia" w:ascii="仿宋_GB2312" w:hAnsi="宋体" w:eastAsia="仿宋_GB2312" w:cs="宋体"/>
          <w:color w:val="000000"/>
          <w:spacing w:val="2"/>
          <w:kern w:val="0"/>
          <w:sz w:val="24"/>
        </w:rPr>
        <w:t>符合采购需求、质量和服务相等且报价最低的供应商作为成交供应商。</w:t>
      </w:r>
    </w:p>
    <w:p w14:paraId="6633346F">
      <w:pPr>
        <w:adjustRightInd w:val="0"/>
        <w:snapToGrid w:val="0"/>
        <w:spacing w:line="360" w:lineRule="auto"/>
        <w:ind w:firstLine="397"/>
        <w:rPr>
          <w:rFonts w:ascii="仿宋_GB2312" w:eastAsia="仿宋_GB2312"/>
          <w:b/>
          <w:sz w:val="24"/>
        </w:rPr>
      </w:pPr>
      <w:r>
        <w:rPr>
          <w:rFonts w:hint="eastAsia" w:ascii="仿宋_GB2312" w:eastAsia="仿宋_GB2312"/>
          <w:b/>
          <w:sz w:val="24"/>
        </w:rPr>
        <w:t>十七、开标谈判会</w:t>
      </w:r>
    </w:p>
    <w:p w14:paraId="388390A4">
      <w:pPr>
        <w:adjustRightInd w:val="0"/>
        <w:snapToGrid w:val="0"/>
        <w:spacing w:line="360" w:lineRule="auto"/>
        <w:ind w:firstLine="516" w:firstLineChars="215"/>
        <w:rPr>
          <w:rFonts w:ascii="仿宋_GB2312" w:eastAsia="仿宋_GB2312"/>
          <w:sz w:val="24"/>
        </w:rPr>
      </w:pPr>
      <w:r>
        <w:rPr>
          <w:rFonts w:hint="eastAsia" w:ascii="仿宋_GB2312" w:eastAsia="仿宋_GB2312"/>
          <w:sz w:val="24"/>
        </w:rPr>
        <w:t>开标谈判会议按谈判文件中规定的时间、地点举行，由招标人主持，在有关部门监督下进行。招标人、所有投标人和政府采购管理机关等有关监督部门的代表参加会议。招标人向到会的投标人宣布谈判、定标办法实施细则，并宣读评委纪律。</w:t>
      </w:r>
    </w:p>
    <w:p w14:paraId="0D6200AC">
      <w:pPr>
        <w:adjustRightInd w:val="0"/>
        <w:snapToGrid w:val="0"/>
        <w:spacing w:line="360" w:lineRule="auto"/>
        <w:ind w:firstLine="397"/>
        <w:rPr>
          <w:rFonts w:ascii="仿宋_GB2312" w:eastAsia="仿宋_GB2312"/>
          <w:sz w:val="24"/>
        </w:rPr>
      </w:pPr>
      <w:r>
        <w:rPr>
          <w:rFonts w:hint="eastAsia" w:ascii="仿宋_GB2312" w:eastAsia="仿宋_GB2312"/>
          <w:sz w:val="24"/>
        </w:rPr>
        <w:t> </w:t>
      </w:r>
    </w:p>
    <w:p w14:paraId="43149DFC">
      <w:pPr>
        <w:adjustRightInd w:val="0"/>
        <w:snapToGrid w:val="0"/>
        <w:spacing w:line="360" w:lineRule="auto"/>
        <w:ind w:firstLine="397"/>
        <w:rPr>
          <w:rFonts w:ascii="仿宋_GB2312" w:eastAsia="仿宋_GB2312"/>
          <w:sz w:val="24"/>
        </w:rPr>
      </w:pPr>
      <w:r>
        <w:rPr>
          <w:rFonts w:hint="eastAsia" w:ascii="仿宋_GB2312" w:eastAsia="仿宋_GB2312"/>
          <w:b/>
          <w:sz w:val="24"/>
        </w:rPr>
        <w:t>十八、</w:t>
      </w:r>
      <w:r>
        <w:rPr>
          <w:rFonts w:hint="eastAsia" w:ascii="仿宋_GB2312" w:eastAsia="仿宋_GB2312"/>
          <w:sz w:val="24"/>
        </w:rPr>
        <w:t>开标时，由监督部门代表检查投标文件的密封情况，或由公证机关监督；经确认无误后，拆封。</w:t>
      </w:r>
    </w:p>
    <w:p w14:paraId="67E90323">
      <w:pPr>
        <w:adjustRightInd w:val="0"/>
        <w:snapToGrid w:val="0"/>
        <w:spacing w:line="360" w:lineRule="auto"/>
        <w:ind w:firstLine="397"/>
        <w:rPr>
          <w:rFonts w:ascii="仿宋_GB2312" w:eastAsia="仿宋_GB2312"/>
          <w:sz w:val="24"/>
        </w:rPr>
      </w:pPr>
      <w:r>
        <w:rPr>
          <w:rFonts w:hint="eastAsia" w:ascii="仿宋_GB2312" w:eastAsia="仿宋_GB2312"/>
          <w:sz w:val="24"/>
        </w:rPr>
        <w:t> </w:t>
      </w:r>
    </w:p>
    <w:p w14:paraId="2CC85C0D">
      <w:pPr>
        <w:adjustRightInd w:val="0"/>
        <w:snapToGrid w:val="0"/>
        <w:spacing w:line="360" w:lineRule="auto"/>
        <w:ind w:firstLine="397"/>
        <w:rPr>
          <w:rFonts w:ascii="仿宋_GB2312" w:eastAsia="仿宋_GB2312"/>
          <w:sz w:val="24"/>
        </w:rPr>
      </w:pPr>
      <w:r>
        <w:rPr>
          <w:rFonts w:hint="eastAsia" w:ascii="仿宋_GB2312" w:eastAsia="仿宋_GB2312"/>
          <w:b/>
          <w:sz w:val="24"/>
        </w:rPr>
        <w:t>十九、</w:t>
      </w:r>
      <w:r>
        <w:rPr>
          <w:rFonts w:hint="eastAsia" w:ascii="仿宋_GB2312" w:eastAsia="仿宋_GB2312"/>
          <w:sz w:val="24"/>
        </w:rPr>
        <w:t>招标人在投标截止时间前收到的所有合格投标文件，开标时都予以拆封，招标人对开标过程予以记录。</w:t>
      </w:r>
    </w:p>
    <w:p w14:paraId="43C53E3F">
      <w:pPr>
        <w:adjustRightInd w:val="0"/>
        <w:snapToGrid w:val="0"/>
        <w:spacing w:line="360" w:lineRule="auto"/>
        <w:ind w:firstLine="397"/>
        <w:rPr>
          <w:rFonts w:ascii="仿宋_GB2312" w:eastAsia="仿宋_GB2312"/>
        </w:rPr>
      </w:pPr>
      <w:r>
        <w:rPr>
          <w:rFonts w:hint="eastAsia" w:ascii="仿宋_GB2312" w:eastAsia="仿宋_GB2312"/>
          <w:sz w:val="24"/>
        </w:rPr>
        <w:t> </w:t>
      </w:r>
      <w:r>
        <w:rPr>
          <w:rFonts w:hint="eastAsia" w:ascii="仿宋_GB2312" w:eastAsia="仿宋_GB2312"/>
        </w:rPr>
        <w:t> </w:t>
      </w:r>
    </w:p>
    <w:p w14:paraId="62BCE0AB">
      <w:pPr>
        <w:pStyle w:val="24"/>
        <w:spacing w:line="360" w:lineRule="auto"/>
        <w:rPr>
          <w:rFonts w:ascii="仿宋_GB2312" w:eastAsia="仿宋_GB2312"/>
          <w:szCs w:val="24"/>
        </w:rPr>
      </w:pPr>
      <w:r>
        <w:rPr>
          <w:rFonts w:ascii="仿宋_GB2312" w:eastAsia="仿宋_GB2312"/>
          <w:szCs w:val="24"/>
        </w:rPr>
        <w:t>二十、投标文件出现下列情况之一的，将作为无效投标文件处理，无效投标文件不予参加评标。</w:t>
      </w:r>
    </w:p>
    <w:p w14:paraId="033785B0">
      <w:pPr>
        <w:adjustRightInd w:val="0"/>
        <w:snapToGrid w:val="0"/>
        <w:spacing w:line="360" w:lineRule="auto"/>
        <w:ind w:firstLine="397"/>
        <w:rPr>
          <w:rFonts w:ascii="仿宋_GB2312" w:eastAsia="仿宋_GB2312"/>
          <w:b/>
          <w:bCs/>
          <w:sz w:val="24"/>
        </w:rPr>
      </w:pPr>
      <w:r>
        <w:rPr>
          <w:rFonts w:hint="eastAsia" w:ascii="仿宋_GB2312" w:eastAsia="仿宋_GB2312"/>
          <w:b/>
          <w:bCs/>
          <w:sz w:val="24"/>
        </w:rPr>
        <w:t>1、投标文件未按规定标志、密封、盖章；</w:t>
      </w:r>
    </w:p>
    <w:p w14:paraId="656AD762">
      <w:pPr>
        <w:adjustRightInd w:val="0"/>
        <w:snapToGrid w:val="0"/>
        <w:spacing w:line="360" w:lineRule="auto"/>
        <w:ind w:firstLine="397"/>
        <w:rPr>
          <w:rFonts w:ascii="仿宋_GB2312" w:eastAsia="仿宋_GB2312"/>
          <w:b/>
          <w:bCs/>
          <w:sz w:val="24"/>
        </w:rPr>
      </w:pPr>
      <w:r>
        <w:rPr>
          <w:rFonts w:hint="eastAsia" w:ascii="仿宋_GB2312" w:eastAsia="仿宋_GB2312"/>
          <w:b/>
          <w:bCs/>
          <w:sz w:val="24"/>
        </w:rPr>
        <w:t>2、投标书未加盖投标人法人章；</w:t>
      </w:r>
    </w:p>
    <w:p w14:paraId="68F535C8">
      <w:pPr>
        <w:adjustRightInd w:val="0"/>
        <w:snapToGrid w:val="0"/>
        <w:spacing w:line="360" w:lineRule="auto"/>
        <w:ind w:firstLine="397"/>
        <w:rPr>
          <w:rFonts w:ascii="仿宋_GB2312" w:eastAsia="仿宋_GB2312"/>
          <w:b/>
          <w:bCs/>
          <w:sz w:val="24"/>
        </w:rPr>
      </w:pPr>
      <w:r>
        <w:rPr>
          <w:rFonts w:hint="eastAsia" w:ascii="仿宋_GB2312" w:eastAsia="仿宋_GB2312"/>
          <w:b/>
          <w:bCs/>
          <w:sz w:val="24"/>
        </w:rPr>
        <w:t>3、授权委托书无投标人法人章、法定代表人的印鉴和签名，或委托书非原件；</w:t>
      </w:r>
    </w:p>
    <w:p w14:paraId="75182291">
      <w:pPr>
        <w:adjustRightInd w:val="0"/>
        <w:snapToGrid w:val="0"/>
        <w:spacing w:line="360" w:lineRule="auto"/>
        <w:ind w:firstLine="397"/>
        <w:rPr>
          <w:rFonts w:ascii="仿宋_GB2312" w:eastAsia="仿宋_GB2312"/>
          <w:b/>
          <w:bCs/>
          <w:sz w:val="24"/>
        </w:rPr>
      </w:pPr>
      <w:r>
        <w:rPr>
          <w:rFonts w:hint="eastAsia" w:ascii="仿宋_GB2312" w:eastAsia="仿宋_GB2312"/>
          <w:b/>
          <w:bCs/>
          <w:sz w:val="24"/>
        </w:rPr>
        <w:t>4、</w:t>
      </w:r>
      <w:r>
        <w:rPr>
          <w:rFonts w:hint="eastAsia" w:ascii="仿宋_GB2312" w:hAnsi="宋体" w:eastAsia="仿宋_GB2312"/>
          <w:b/>
          <w:sz w:val="24"/>
        </w:rPr>
        <w:t>投标人的法定代表人或委托授权人未按时到场参加开标会议的；</w:t>
      </w:r>
    </w:p>
    <w:p w14:paraId="145D93AC">
      <w:pPr>
        <w:adjustRightInd w:val="0"/>
        <w:snapToGrid w:val="0"/>
        <w:spacing w:line="360" w:lineRule="auto"/>
        <w:ind w:firstLine="397"/>
        <w:rPr>
          <w:rFonts w:ascii="仿宋_GB2312" w:eastAsia="仿宋_GB2312"/>
          <w:b/>
          <w:bCs/>
          <w:sz w:val="24"/>
        </w:rPr>
      </w:pPr>
      <w:r>
        <w:rPr>
          <w:rFonts w:hint="eastAsia" w:ascii="仿宋_GB2312" w:eastAsia="仿宋_GB2312"/>
          <w:b/>
          <w:bCs/>
          <w:sz w:val="24"/>
        </w:rPr>
        <w:t>5、投标文件未按谈判文件规定的格式、内容和要求编制，投标文件字迹潦草、模糊、难以辨认；</w:t>
      </w:r>
    </w:p>
    <w:p w14:paraId="225721B8">
      <w:pPr>
        <w:adjustRightInd w:val="0"/>
        <w:snapToGrid w:val="0"/>
        <w:spacing w:line="360" w:lineRule="auto"/>
        <w:ind w:firstLine="397"/>
        <w:rPr>
          <w:rFonts w:ascii="仿宋_GB2312" w:eastAsia="仿宋_GB2312"/>
          <w:b/>
          <w:bCs/>
          <w:sz w:val="24"/>
        </w:rPr>
      </w:pPr>
      <w:r>
        <w:rPr>
          <w:rFonts w:hint="eastAsia" w:ascii="仿宋_GB2312" w:eastAsia="仿宋_GB2312"/>
          <w:b/>
          <w:bCs/>
          <w:sz w:val="24"/>
        </w:rPr>
        <w:t>6、投标人在一份投标文件中，对同一招标项目报有两个或多个报价，且未书面确定以哪个报价为准；</w:t>
      </w:r>
    </w:p>
    <w:p w14:paraId="0605D94D">
      <w:pPr>
        <w:adjustRightInd w:val="0"/>
        <w:snapToGrid w:val="0"/>
        <w:spacing w:line="360" w:lineRule="auto"/>
        <w:ind w:firstLine="397"/>
        <w:rPr>
          <w:rFonts w:ascii="仿宋_GB2312" w:eastAsia="仿宋_GB2312"/>
          <w:b/>
          <w:bCs/>
          <w:sz w:val="24"/>
        </w:rPr>
      </w:pPr>
      <w:r>
        <w:rPr>
          <w:rFonts w:hint="eastAsia" w:ascii="仿宋_GB2312" w:eastAsia="仿宋_GB2312"/>
          <w:b/>
          <w:bCs/>
          <w:sz w:val="24"/>
        </w:rPr>
        <w:t>7、投标人资格不满足要求，或投标材料所述情况和所附相关资料不实的；</w:t>
      </w:r>
    </w:p>
    <w:p w14:paraId="164CFCDB">
      <w:pPr>
        <w:adjustRightInd w:val="0"/>
        <w:snapToGrid w:val="0"/>
        <w:spacing w:line="360" w:lineRule="auto"/>
        <w:ind w:firstLine="397"/>
        <w:rPr>
          <w:rFonts w:ascii="仿宋_GB2312" w:eastAsia="仿宋_GB2312"/>
          <w:b/>
          <w:bCs/>
          <w:sz w:val="24"/>
        </w:rPr>
      </w:pPr>
      <w:r>
        <w:rPr>
          <w:rFonts w:hint="eastAsia" w:ascii="仿宋_GB2312" w:eastAsia="仿宋_GB2312"/>
          <w:b/>
          <w:bCs/>
          <w:sz w:val="24"/>
        </w:rPr>
        <w:t>8、投标人资格条件不符合国家有关规定和谈判文件要求的，或者拒不按照要求对投标文件进行澄清、说明或者补正的，</w:t>
      </w:r>
      <w:r>
        <w:rPr>
          <w:rFonts w:hint="eastAsia" w:ascii="仿宋_GB2312" w:eastAsia="仿宋_GB2312"/>
          <w:b/>
          <w:sz w:val="24"/>
        </w:rPr>
        <w:t>谈判小组</w:t>
      </w:r>
      <w:r>
        <w:rPr>
          <w:rFonts w:hint="eastAsia" w:ascii="仿宋_GB2312" w:eastAsia="仿宋_GB2312"/>
          <w:b/>
          <w:bCs/>
          <w:sz w:val="24"/>
        </w:rPr>
        <w:t>可以否决其投标；</w:t>
      </w:r>
    </w:p>
    <w:p w14:paraId="5605454F">
      <w:pPr>
        <w:adjustRightInd w:val="0"/>
        <w:snapToGrid w:val="0"/>
        <w:spacing w:line="360" w:lineRule="auto"/>
        <w:ind w:firstLine="397"/>
        <w:rPr>
          <w:rFonts w:ascii="仿宋_GB2312" w:hAnsi="宋体" w:eastAsia="仿宋_GB2312"/>
          <w:b/>
          <w:color w:val="000000"/>
          <w:sz w:val="24"/>
        </w:rPr>
      </w:pPr>
      <w:r>
        <w:rPr>
          <w:rFonts w:hint="eastAsia" w:ascii="仿宋_GB2312" w:eastAsia="仿宋_GB2312"/>
          <w:b/>
          <w:bCs/>
          <w:sz w:val="24"/>
        </w:rPr>
        <w:t>9、</w:t>
      </w:r>
      <w:r>
        <w:rPr>
          <w:rFonts w:hint="eastAsia" w:ascii="仿宋_GB2312" w:hAnsi="宋体" w:eastAsia="仿宋_GB2312"/>
          <w:b/>
          <w:color w:val="000000"/>
          <w:sz w:val="24"/>
        </w:rPr>
        <w:t>不符合法律、法规或招标文件规定的技术参数及实质性要求的，</w:t>
      </w:r>
      <w:r>
        <w:rPr>
          <w:rFonts w:hint="eastAsia" w:ascii="仿宋_GB2312" w:eastAsia="仿宋_GB2312"/>
          <w:b/>
          <w:bCs/>
          <w:sz w:val="24"/>
        </w:rPr>
        <w:t>所投产品未满足附件六项目需求的</w:t>
      </w:r>
      <w:r>
        <w:rPr>
          <w:rFonts w:hint="eastAsia" w:ascii="仿宋_GB2312" w:hAnsi="宋体" w:eastAsia="仿宋_GB2312"/>
          <w:b/>
          <w:color w:val="000000"/>
          <w:sz w:val="24"/>
        </w:rPr>
        <w:t>；</w:t>
      </w:r>
    </w:p>
    <w:p w14:paraId="210F5DF3">
      <w:pPr>
        <w:adjustRightInd w:val="0"/>
        <w:snapToGrid w:val="0"/>
        <w:spacing w:line="360" w:lineRule="auto"/>
        <w:ind w:firstLine="397"/>
        <w:rPr>
          <w:rFonts w:ascii="仿宋_GB2312" w:eastAsia="仿宋_GB2312"/>
          <w:b/>
          <w:bCs/>
          <w:sz w:val="24"/>
        </w:rPr>
      </w:pPr>
      <w:r>
        <w:rPr>
          <w:rFonts w:hint="eastAsia" w:ascii="仿宋_GB2312" w:hAnsi="宋体" w:eastAsia="仿宋_GB2312"/>
          <w:b/>
          <w:color w:val="000000"/>
          <w:sz w:val="24"/>
        </w:rPr>
        <w:t>10、</w:t>
      </w:r>
      <w:r>
        <w:rPr>
          <w:rFonts w:hint="eastAsia" w:ascii="仿宋_GB2312" w:eastAsia="仿宋_GB2312"/>
          <w:b/>
          <w:bCs/>
          <w:sz w:val="24"/>
        </w:rPr>
        <w:t>逾期送达的投标文件；</w:t>
      </w:r>
    </w:p>
    <w:p w14:paraId="686506D7">
      <w:pPr>
        <w:adjustRightInd w:val="0"/>
        <w:snapToGrid w:val="0"/>
        <w:spacing w:line="360" w:lineRule="auto"/>
        <w:ind w:firstLine="397"/>
        <w:rPr>
          <w:rFonts w:ascii="仿宋_GB2312" w:eastAsia="仿宋_GB2312"/>
          <w:b/>
          <w:bCs/>
          <w:sz w:val="24"/>
        </w:rPr>
      </w:pPr>
      <w:r>
        <w:rPr>
          <w:rFonts w:hint="eastAsia" w:ascii="仿宋_GB2312" w:eastAsia="仿宋_GB2312"/>
          <w:b/>
          <w:bCs/>
          <w:sz w:val="24"/>
        </w:rPr>
        <w:t>11、投标人的投标报价超过了最高限价的。</w:t>
      </w:r>
    </w:p>
    <w:p w14:paraId="7228E237">
      <w:pPr>
        <w:adjustRightInd w:val="0"/>
        <w:snapToGrid w:val="0"/>
        <w:spacing w:line="360" w:lineRule="auto"/>
        <w:ind w:firstLine="397"/>
        <w:rPr>
          <w:rFonts w:ascii="仿宋_GB2312" w:eastAsia="仿宋_GB2312"/>
          <w:b/>
          <w:bCs/>
          <w:sz w:val="24"/>
        </w:rPr>
      </w:pPr>
    </w:p>
    <w:p w14:paraId="5CE72D4D">
      <w:pPr>
        <w:adjustRightInd w:val="0"/>
        <w:snapToGrid w:val="0"/>
        <w:spacing w:line="360" w:lineRule="auto"/>
        <w:ind w:firstLine="397"/>
        <w:rPr>
          <w:rFonts w:ascii="仿宋_GB2312" w:eastAsia="仿宋_GB2312"/>
          <w:b/>
          <w:sz w:val="24"/>
        </w:rPr>
      </w:pPr>
      <w:r>
        <w:rPr>
          <w:rFonts w:hint="eastAsia" w:ascii="仿宋_GB2312" w:eastAsia="仿宋_GB2312"/>
          <w:b/>
          <w:sz w:val="24"/>
        </w:rPr>
        <w:t>二十一、谈判、定标</w:t>
      </w:r>
    </w:p>
    <w:p w14:paraId="23D9A1D2">
      <w:pPr>
        <w:adjustRightInd w:val="0"/>
        <w:snapToGrid w:val="0"/>
        <w:spacing w:line="360" w:lineRule="auto"/>
        <w:ind w:firstLine="397"/>
        <w:rPr>
          <w:rFonts w:ascii="仿宋_GB2312" w:eastAsia="仿宋_GB2312"/>
          <w:sz w:val="24"/>
        </w:rPr>
      </w:pPr>
      <w:r>
        <w:rPr>
          <w:rFonts w:hint="eastAsia" w:ascii="仿宋_GB2312" w:eastAsia="仿宋_GB2312"/>
          <w:sz w:val="24"/>
        </w:rPr>
        <w:t>谈判由招标人依法组建的谈判小组负责。定标根据谈判小组的书面评标报告和推荐的中标候选人由政府采购中心确定中标人。</w:t>
      </w:r>
    </w:p>
    <w:p w14:paraId="7462F7F3">
      <w:pPr>
        <w:adjustRightInd w:val="0"/>
        <w:snapToGrid w:val="0"/>
        <w:spacing w:line="360" w:lineRule="auto"/>
        <w:ind w:firstLine="397"/>
        <w:rPr>
          <w:rFonts w:ascii="仿宋_GB2312" w:eastAsia="仿宋_GB2312"/>
          <w:sz w:val="24"/>
        </w:rPr>
      </w:pPr>
      <w:r>
        <w:rPr>
          <w:rFonts w:hint="eastAsia" w:ascii="仿宋_GB2312" w:eastAsia="仿宋_GB2312"/>
          <w:sz w:val="24"/>
        </w:rPr>
        <w:t> </w:t>
      </w:r>
    </w:p>
    <w:p w14:paraId="125C6DEA">
      <w:pPr>
        <w:adjustRightInd w:val="0"/>
        <w:snapToGrid w:val="0"/>
        <w:spacing w:line="360" w:lineRule="auto"/>
        <w:ind w:firstLine="397"/>
        <w:rPr>
          <w:rFonts w:ascii="仿宋_GB2312" w:eastAsia="仿宋_GB2312"/>
          <w:b/>
          <w:sz w:val="24"/>
        </w:rPr>
      </w:pPr>
      <w:r>
        <w:rPr>
          <w:rFonts w:hint="eastAsia" w:ascii="仿宋_GB2312" w:eastAsia="仿宋_GB2312"/>
          <w:b/>
          <w:sz w:val="24"/>
        </w:rPr>
        <w:t>二十二、投标文件的澄清</w:t>
      </w:r>
    </w:p>
    <w:p w14:paraId="6088AC3D">
      <w:pPr>
        <w:adjustRightInd w:val="0"/>
        <w:snapToGrid w:val="0"/>
        <w:spacing w:line="360" w:lineRule="auto"/>
        <w:ind w:firstLine="397"/>
        <w:rPr>
          <w:rFonts w:ascii="仿宋_GB2312" w:eastAsia="仿宋_GB2312"/>
          <w:sz w:val="24"/>
        </w:rPr>
      </w:pPr>
      <w:r>
        <w:rPr>
          <w:rFonts w:hint="eastAsia" w:ascii="仿宋_GB2312" w:eastAsia="仿宋_GB2312"/>
          <w:sz w:val="24"/>
        </w:rPr>
        <w:t>1、为了有助于投标文件的审查、评价和比较，谈判小组可以书面方式要求投标人对投标文件中含义不明确、对同类问题表述不一致或者明显文字和计算错误的内容作必要的澄清、说明或者补正。投标人的澄清、说明或者补正应以书面方式进行。</w:t>
      </w:r>
    </w:p>
    <w:p w14:paraId="57A73A85">
      <w:pPr>
        <w:adjustRightInd w:val="0"/>
        <w:snapToGrid w:val="0"/>
        <w:spacing w:line="360" w:lineRule="auto"/>
        <w:ind w:firstLine="397"/>
        <w:rPr>
          <w:rFonts w:ascii="仿宋_GB2312" w:eastAsia="仿宋_GB2312"/>
          <w:sz w:val="24"/>
        </w:rPr>
      </w:pPr>
      <w:r>
        <w:rPr>
          <w:rFonts w:hint="eastAsia" w:ascii="仿宋_GB2312" w:eastAsia="仿宋_GB2312"/>
          <w:sz w:val="24"/>
        </w:rPr>
        <w:t>2、投标文件中的大写金额和小写金额不一致时的，以大写金额为准；总价金额与单价金额不一致的，以单价金额为准，但单价金额小数点有明显错误的除外；对不同文字文本投标文件的解释发生异议的，以中文文本为准。</w:t>
      </w:r>
    </w:p>
    <w:p w14:paraId="201727AF">
      <w:pPr>
        <w:adjustRightInd w:val="0"/>
        <w:snapToGrid w:val="0"/>
        <w:spacing w:line="360" w:lineRule="auto"/>
        <w:ind w:firstLine="397"/>
        <w:rPr>
          <w:rFonts w:ascii="仿宋_GB2312" w:eastAsia="仿宋_GB2312"/>
          <w:sz w:val="24"/>
        </w:rPr>
      </w:pPr>
      <w:r>
        <w:rPr>
          <w:rFonts w:hint="eastAsia" w:ascii="仿宋_GB2312" w:eastAsia="仿宋_GB2312"/>
          <w:sz w:val="24"/>
        </w:rPr>
        <w:t>3、所有澄清或说明必须以书面方式正式为之，并应加盖投标人公章及法定代表人或其代理人的签名或盖章。</w:t>
      </w:r>
    </w:p>
    <w:p w14:paraId="5EDCBA27">
      <w:pPr>
        <w:adjustRightInd w:val="0"/>
        <w:snapToGrid w:val="0"/>
        <w:spacing w:line="360" w:lineRule="auto"/>
        <w:ind w:firstLine="397"/>
        <w:rPr>
          <w:rFonts w:ascii="仿宋_GB2312" w:eastAsia="仿宋_GB2312"/>
          <w:b/>
          <w:bCs/>
          <w:sz w:val="24"/>
        </w:rPr>
      </w:pPr>
      <w:r>
        <w:rPr>
          <w:rFonts w:hint="eastAsia" w:ascii="仿宋_GB2312" w:eastAsia="仿宋_GB2312"/>
          <w:sz w:val="24"/>
        </w:rPr>
        <w:t> </w:t>
      </w:r>
      <w:r>
        <w:rPr>
          <w:rFonts w:hint="eastAsia" w:ascii="仿宋_GB2312" w:eastAsia="仿宋_GB2312"/>
          <w:b/>
          <w:bCs/>
          <w:sz w:val="24"/>
        </w:rPr>
        <w:t> </w:t>
      </w:r>
    </w:p>
    <w:p w14:paraId="4913C957">
      <w:pPr>
        <w:adjustRightInd w:val="0"/>
        <w:snapToGrid w:val="0"/>
        <w:spacing w:line="360" w:lineRule="auto"/>
        <w:ind w:firstLine="397"/>
        <w:rPr>
          <w:rFonts w:ascii="仿宋_GB2312" w:eastAsia="仿宋_GB2312"/>
          <w:b/>
          <w:bCs/>
          <w:sz w:val="24"/>
        </w:rPr>
      </w:pPr>
      <w:r>
        <w:rPr>
          <w:rFonts w:hint="eastAsia" w:ascii="仿宋_GB2312" w:eastAsia="仿宋_GB2312"/>
          <w:b/>
          <w:bCs/>
          <w:sz w:val="24"/>
        </w:rPr>
        <w:t>二十三、评标中作为废标处理的情况：</w:t>
      </w:r>
    </w:p>
    <w:p w14:paraId="5111292F">
      <w:pPr>
        <w:adjustRightInd w:val="0"/>
        <w:snapToGrid w:val="0"/>
        <w:spacing w:line="360" w:lineRule="auto"/>
        <w:ind w:firstLine="397"/>
        <w:rPr>
          <w:rFonts w:ascii="仿宋_GB2312" w:eastAsia="仿宋_GB2312"/>
          <w:b/>
          <w:bCs/>
          <w:sz w:val="24"/>
        </w:rPr>
      </w:pPr>
      <w:r>
        <w:rPr>
          <w:rFonts w:hint="eastAsia" w:ascii="仿宋_GB2312" w:eastAsia="仿宋_GB2312"/>
          <w:b/>
          <w:bCs/>
          <w:sz w:val="24"/>
        </w:rPr>
        <w:t>1、在评标过程中，</w:t>
      </w:r>
      <w:r>
        <w:rPr>
          <w:rFonts w:hint="eastAsia" w:ascii="仿宋_GB2312" w:eastAsia="仿宋_GB2312"/>
          <w:b/>
          <w:sz w:val="24"/>
        </w:rPr>
        <w:t>谈判小组</w:t>
      </w:r>
      <w:r>
        <w:rPr>
          <w:rFonts w:hint="eastAsia" w:ascii="仿宋_GB2312" w:eastAsia="仿宋_GB2312"/>
          <w:b/>
          <w:bCs/>
          <w:sz w:val="24"/>
        </w:rPr>
        <w:t>会若发现投标人以他人的名义投标、串通投标、以行贿手段谋取中标或者以其他弄虚作假方式投标的，该投标人的投标将作废标处理。</w:t>
      </w:r>
    </w:p>
    <w:p w14:paraId="04631848">
      <w:pPr>
        <w:adjustRightInd w:val="0"/>
        <w:snapToGrid w:val="0"/>
        <w:spacing w:line="360" w:lineRule="auto"/>
        <w:ind w:firstLine="397"/>
        <w:rPr>
          <w:rFonts w:ascii="仿宋_GB2312" w:eastAsia="仿宋_GB2312"/>
          <w:b/>
          <w:bCs/>
          <w:sz w:val="24"/>
        </w:rPr>
      </w:pPr>
      <w:r>
        <w:rPr>
          <w:rFonts w:hint="eastAsia" w:ascii="仿宋_GB2312" w:eastAsia="仿宋_GB2312"/>
          <w:b/>
          <w:bCs/>
          <w:sz w:val="24"/>
        </w:rPr>
        <w:t>2、在评标过程中，</w:t>
      </w:r>
      <w:r>
        <w:rPr>
          <w:rFonts w:hint="eastAsia" w:ascii="仿宋_GB2312" w:eastAsia="仿宋_GB2312"/>
          <w:b/>
          <w:sz w:val="24"/>
        </w:rPr>
        <w:t>谈判小组</w:t>
      </w:r>
      <w:r>
        <w:rPr>
          <w:rFonts w:hint="eastAsia" w:ascii="仿宋_GB2312" w:eastAsia="仿宋_GB2312"/>
          <w:b/>
          <w:bCs/>
          <w:sz w:val="24"/>
        </w:rPr>
        <w:t>若发现投标人的报价明显低于其他投标报价或者在设有标底时明显低于标底，使得其投标报价可能低于其成本的，将要求该投标人作出书面说明并提供相关证明材料。投标人不能合理说明或者不能提供相关证明材料的，由</w:t>
      </w:r>
      <w:r>
        <w:rPr>
          <w:rFonts w:hint="eastAsia" w:ascii="仿宋_GB2312" w:eastAsia="仿宋_GB2312"/>
          <w:b/>
          <w:sz w:val="24"/>
        </w:rPr>
        <w:t>谈判小组</w:t>
      </w:r>
      <w:r>
        <w:rPr>
          <w:rFonts w:hint="eastAsia" w:ascii="仿宋_GB2312" w:eastAsia="仿宋_GB2312"/>
          <w:b/>
          <w:bCs/>
          <w:sz w:val="24"/>
        </w:rPr>
        <w:t>认定该投标人以低于成本报价竞标，其投标将作废标处理。</w:t>
      </w:r>
    </w:p>
    <w:p w14:paraId="2D540398">
      <w:pPr>
        <w:adjustRightInd w:val="0"/>
        <w:snapToGrid w:val="0"/>
        <w:spacing w:line="360" w:lineRule="auto"/>
        <w:ind w:firstLine="397"/>
        <w:rPr>
          <w:rFonts w:ascii="仿宋_GB2312" w:eastAsia="仿宋_GB2312"/>
          <w:b/>
          <w:bCs/>
          <w:sz w:val="24"/>
        </w:rPr>
      </w:pPr>
      <w:r>
        <w:rPr>
          <w:rFonts w:hint="eastAsia" w:ascii="仿宋_GB2312" w:eastAsia="仿宋_GB2312"/>
          <w:b/>
          <w:bCs/>
          <w:sz w:val="24"/>
        </w:rPr>
        <w:t>3、投标人价格均超过了采购预算，采购单位无法承担和支付的，本项目将作废标处理。</w:t>
      </w:r>
    </w:p>
    <w:p w14:paraId="69B63E8C">
      <w:pPr>
        <w:adjustRightInd w:val="0"/>
        <w:snapToGrid w:val="0"/>
        <w:spacing w:line="360" w:lineRule="auto"/>
        <w:ind w:firstLine="397"/>
        <w:rPr>
          <w:rFonts w:ascii="仿宋_GB2312" w:eastAsia="仿宋_GB2312"/>
          <w:b/>
          <w:sz w:val="24"/>
        </w:rPr>
      </w:pPr>
      <w:r>
        <w:rPr>
          <w:rFonts w:hint="eastAsia" w:ascii="仿宋_GB2312" w:eastAsia="仿宋_GB2312"/>
          <w:bCs/>
          <w:sz w:val="24"/>
        </w:rPr>
        <w:t>4、</w:t>
      </w:r>
      <w:r>
        <w:rPr>
          <w:rFonts w:hint="eastAsia" w:ascii="仿宋_GB2312" w:hAnsi="宋体" w:eastAsia="仿宋_GB2312" w:cs="宋体"/>
          <w:b/>
          <w:color w:val="000000"/>
          <w:spacing w:val="2"/>
          <w:kern w:val="0"/>
          <w:sz w:val="24"/>
        </w:rPr>
        <w:t>因重大变故，采购任务取消的。</w:t>
      </w:r>
    </w:p>
    <w:p w14:paraId="4187E5C3">
      <w:pPr>
        <w:adjustRightInd w:val="0"/>
        <w:snapToGrid w:val="0"/>
        <w:spacing w:line="360" w:lineRule="auto"/>
        <w:ind w:firstLine="397"/>
        <w:rPr>
          <w:rFonts w:ascii="仿宋_GB2312" w:eastAsia="仿宋_GB2312"/>
          <w:b/>
          <w:sz w:val="24"/>
        </w:rPr>
      </w:pPr>
      <w:r>
        <w:rPr>
          <w:rFonts w:hint="eastAsia" w:ascii="仿宋_GB2312" w:eastAsia="仿宋_GB2312"/>
          <w:b/>
          <w:sz w:val="24"/>
        </w:rPr>
        <w:t>二十四、中标</w:t>
      </w:r>
    </w:p>
    <w:p w14:paraId="5E46B0B2">
      <w:pPr>
        <w:adjustRightInd w:val="0"/>
        <w:snapToGrid w:val="0"/>
        <w:spacing w:line="360" w:lineRule="auto"/>
        <w:ind w:firstLine="397"/>
        <w:rPr>
          <w:rFonts w:ascii="仿宋_GB2312" w:eastAsia="仿宋_GB2312"/>
          <w:sz w:val="24"/>
        </w:rPr>
      </w:pPr>
      <w:r>
        <w:rPr>
          <w:rFonts w:hint="eastAsia" w:ascii="仿宋_GB2312" w:eastAsia="仿宋_GB2312"/>
          <w:sz w:val="24"/>
        </w:rPr>
        <w:t>中标人在中标人确定后的三十日内与采购人签订合同。</w:t>
      </w:r>
    </w:p>
    <w:p w14:paraId="0DB4D339">
      <w:pPr>
        <w:adjustRightInd w:val="0"/>
        <w:snapToGrid w:val="0"/>
        <w:spacing w:line="360" w:lineRule="auto"/>
        <w:ind w:firstLine="397"/>
        <w:rPr>
          <w:rFonts w:ascii="仿宋_GB2312" w:eastAsia="仿宋_GB2312"/>
          <w:b/>
        </w:rPr>
      </w:pPr>
      <w:r>
        <w:rPr>
          <w:rFonts w:hint="eastAsia" w:ascii="仿宋_GB2312" w:eastAsia="仿宋_GB2312"/>
          <w:spacing w:val="-4"/>
          <w:kern w:val="32"/>
          <w:sz w:val="24"/>
        </w:rPr>
        <w:t>政府采购中心不负责向任何投标单位说明中标或不中标的原因。</w:t>
      </w:r>
    </w:p>
    <w:p w14:paraId="23B90A4E">
      <w:pPr>
        <w:pStyle w:val="19"/>
        <w:spacing w:line="360" w:lineRule="auto"/>
        <w:rPr>
          <w:rFonts w:ascii="仿宋_GB2312" w:eastAsia="仿宋_GB2312"/>
          <w:b/>
          <w:szCs w:val="24"/>
        </w:rPr>
      </w:pPr>
      <w:r>
        <w:rPr>
          <w:rFonts w:ascii="仿宋_GB2312" w:eastAsia="仿宋_GB2312"/>
          <w:b/>
          <w:szCs w:val="24"/>
        </w:rPr>
        <w:t>二十五、授予合同，合同条款</w:t>
      </w:r>
    </w:p>
    <w:p w14:paraId="1579EF24">
      <w:pPr>
        <w:snapToGrid w:val="0"/>
        <w:spacing w:line="360" w:lineRule="auto"/>
        <w:ind w:firstLine="480"/>
        <w:rPr>
          <w:rFonts w:ascii="仿宋_GB2312" w:hAnsi="宋体" w:eastAsia="仿宋_GB2312"/>
          <w:sz w:val="24"/>
        </w:rPr>
      </w:pPr>
      <w:r>
        <w:rPr>
          <w:rFonts w:hint="eastAsia" w:ascii="仿宋_GB2312" w:hAnsi="宋体" w:eastAsia="仿宋_GB2312"/>
          <w:sz w:val="24"/>
        </w:rPr>
        <w:t>1、中标人在指定的时间、地点派代表前来与招标人具体商谈签订合同，合同样本见附件四。谈判文件、中标人的投标文件及澄清文件等，均为签订合同的依据。</w:t>
      </w:r>
    </w:p>
    <w:p w14:paraId="678CC9A9">
      <w:pPr>
        <w:snapToGrid w:val="0"/>
        <w:spacing w:line="360" w:lineRule="auto"/>
        <w:ind w:firstLine="480"/>
        <w:rPr>
          <w:rFonts w:ascii="仿宋_GB2312" w:eastAsia="仿宋_GB2312"/>
          <w:b/>
          <w:sz w:val="24"/>
        </w:rPr>
      </w:pPr>
      <w:r>
        <w:rPr>
          <w:rFonts w:hint="eastAsia" w:ascii="仿宋_GB2312" w:eastAsia="仿宋_GB2312"/>
          <w:b/>
          <w:sz w:val="24"/>
        </w:rPr>
        <w:t>2、付款方式：</w:t>
      </w:r>
    </w:p>
    <w:p w14:paraId="5082D785">
      <w:pPr>
        <w:snapToGrid w:val="0"/>
        <w:spacing w:line="360" w:lineRule="auto"/>
        <w:ind w:firstLine="482" w:firstLineChars="200"/>
        <w:jc w:val="left"/>
        <w:rPr>
          <w:rFonts w:ascii="仿宋_GB2312" w:hAnsi="宋体" w:eastAsia="仿宋_GB2312" w:cs="宋体"/>
          <w:b/>
          <w:sz w:val="24"/>
        </w:rPr>
      </w:pPr>
      <w:r>
        <w:rPr>
          <w:rFonts w:hint="eastAsia" w:ascii="仿宋_GB2312" w:hAnsi="宋体" w:eastAsia="仿宋_GB2312" w:cs="宋体"/>
          <w:b/>
          <w:sz w:val="24"/>
        </w:rPr>
        <w:t>（1）合同签订后一周内支付合同金额的30%；（2）第一阶段业务功能上线后一周内支付合同金额的20%；运行正常经验收后一周内支付合同金额的10%；（3）第二阶段业务功能上线后一周内支付合同金额的20%，运行正常经验收后一周内支付合同金额的10%；（4）免费维护服务结束后付清合同金额的10%。</w:t>
      </w:r>
    </w:p>
    <w:p w14:paraId="4CEA2182">
      <w:pPr>
        <w:tabs>
          <w:tab w:val="left" w:pos="2422"/>
        </w:tabs>
        <w:snapToGrid w:val="0"/>
        <w:rPr>
          <w:rFonts w:ascii="仿宋_GB2312" w:eastAsia="仿宋_GB2312"/>
          <w:b/>
          <w:sz w:val="28"/>
          <w:szCs w:val="28"/>
        </w:rPr>
      </w:pPr>
    </w:p>
    <w:p w14:paraId="2C7EF946">
      <w:pPr>
        <w:tabs>
          <w:tab w:val="left" w:pos="2422"/>
        </w:tabs>
        <w:snapToGrid w:val="0"/>
        <w:rPr>
          <w:rFonts w:ascii="仿宋_GB2312" w:eastAsia="仿宋_GB2312"/>
          <w:b/>
          <w:sz w:val="28"/>
          <w:szCs w:val="28"/>
        </w:rPr>
      </w:pPr>
    </w:p>
    <w:p w14:paraId="0A249AE2">
      <w:pPr>
        <w:tabs>
          <w:tab w:val="left" w:pos="2422"/>
        </w:tabs>
        <w:snapToGrid w:val="0"/>
        <w:rPr>
          <w:rFonts w:ascii="仿宋_GB2312" w:eastAsia="仿宋_GB2312"/>
          <w:b/>
          <w:sz w:val="28"/>
          <w:szCs w:val="28"/>
        </w:rPr>
      </w:pPr>
    </w:p>
    <w:p w14:paraId="32962BDC">
      <w:pPr>
        <w:tabs>
          <w:tab w:val="left" w:pos="2422"/>
        </w:tabs>
        <w:snapToGrid w:val="0"/>
        <w:rPr>
          <w:rFonts w:ascii="仿宋_GB2312" w:eastAsia="仿宋_GB2312"/>
          <w:b/>
          <w:sz w:val="28"/>
          <w:szCs w:val="28"/>
        </w:rPr>
      </w:pPr>
    </w:p>
    <w:p w14:paraId="7A9F9B4F">
      <w:pPr>
        <w:tabs>
          <w:tab w:val="left" w:pos="2422"/>
        </w:tabs>
        <w:snapToGrid w:val="0"/>
        <w:rPr>
          <w:rFonts w:ascii="仿宋_GB2312" w:eastAsia="仿宋_GB2312"/>
          <w:b/>
          <w:sz w:val="28"/>
          <w:szCs w:val="28"/>
        </w:rPr>
      </w:pPr>
    </w:p>
    <w:p w14:paraId="1E4F940D">
      <w:pPr>
        <w:tabs>
          <w:tab w:val="left" w:pos="2422"/>
        </w:tabs>
        <w:snapToGrid w:val="0"/>
        <w:rPr>
          <w:rFonts w:ascii="仿宋_GB2312" w:eastAsia="仿宋_GB2312"/>
          <w:b/>
          <w:sz w:val="28"/>
          <w:szCs w:val="28"/>
        </w:rPr>
      </w:pPr>
    </w:p>
    <w:p w14:paraId="4980D77D">
      <w:pPr>
        <w:tabs>
          <w:tab w:val="left" w:pos="2422"/>
        </w:tabs>
        <w:snapToGrid w:val="0"/>
        <w:rPr>
          <w:rFonts w:ascii="仿宋_GB2312" w:eastAsia="仿宋_GB2312"/>
          <w:b/>
          <w:sz w:val="28"/>
          <w:szCs w:val="28"/>
        </w:rPr>
      </w:pPr>
    </w:p>
    <w:p w14:paraId="585AB53E">
      <w:pPr>
        <w:tabs>
          <w:tab w:val="left" w:pos="2422"/>
        </w:tabs>
        <w:snapToGrid w:val="0"/>
        <w:rPr>
          <w:rFonts w:ascii="仿宋_GB2312" w:eastAsia="仿宋_GB2312"/>
          <w:b/>
          <w:sz w:val="28"/>
          <w:szCs w:val="28"/>
        </w:rPr>
      </w:pPr>
    </w:p>
    <w:p w14:paraId="57127DFA">
      <w:pPr>
        <w:tabs>
          <w:tab w:val="left" w:pos="2422"/>
        </w:tabs>
        <w:snapToGrid w:val="0"/>
        <w:rPr>
          <w:rFonts w:ascii="仿宋_GB2312" w:eastAsia="仿宋_GB2312"/>
          <w:b/>
          <w:sz w:val="28"/>
          <w:szCs w:val="28"/>
        </w:rPr>
      </w:pPr>
    </w:p>
    <w:p w14:paraId="48B854F5">
      <w:pPr>
        <w:tabs>
          <w:tab w:val="left" w:pos="2422"/>
        </w:tabs>
        <w:snapToGrid w:val="0"/>
        <w:rPr>
          <w:rFonts w:ascii="仿宋_GB2312" w:eastAsia="仿宋_GB2312"/>
          <w:b/>
          <w:sz w:val="28"/>
          <w:szCs w:val="28"/>
        </w:rPr>
      </w:pPr>
    </w:p>
    <w:p w14:paraId="72DAC5D4">
      <w:pPr>
        <w:tabs>
          <w:tab w:val="left" w:pos="2422"/>
        </w:tabs>
        <w:snapToGrid w:val="0"/>
        <w:rPr>
          <w:rFonts w:ascii="仿宋_GB2312" w:eastAsia="仿宋_GB2312"/>
          <w:b/>
          <w:sz w:val="28"/>
          <w:szCs w:val="28"/>
        </w:rPr>
      </w:pPr>
    </w:p>
    <w:p w14:paraId="00571B61">
      <w:pPr>
        <w:tabs>
          <w:tab w:val="left" w:pos="2422"/>
        </w:tabs>
        <w:snapToGrid w:val="0"/>
        <w:rPr>
          <w:rFonts w:ascii="仿宋_GB2312" w:eastAsia="仿宋_GB2312"/>
          <w:b/>
          <w:sz w:val="28"/>
          <w:szCs w:val="28"/>
        </w:rPr>
      </w:pPr>
    </w:p>
    <w:p w14:paraId="00672010">
      <w:pPr>
        <w:tabs>
          <w:tab w:val="left" w:pos="2422"/>
        </w:tabs>
        <w:snapToGrid w:val="0"/>
        <w:rPr>
          <w:rFonts w:ascii="仿宋_GB2312" w:eastAsia="仿宋_GB2312"/>
          <w:b/>
          <w:sz w:val="28"/>
          <w:szCs w:val="28"/>
        </w:rPr>
      </w:pPr>
    </w:p>
    <w:p w14:paraId="61223102">
      <w:pPr>
        <w:tabs>
          <w:tab w:val="left" w:pos="2422"/>
        </w:tabs>
        <w:snapToGrid w:val="0"/>
        <w:rPr>
          <w:rFonts w:ascii="仿宋_GB2312" w:eastAsia="仿宋_GB2312"/>
          <w:b/>
          <w:sz w:val="28"/>
          <w:szCs w:val="28"/>
        </w:rPr>
      </w:pPr>
    </w:p>
    <w:p w14:paraId="20FE6144">
      <w:pPr>
        <w:tabs>
          <w:tab w:val="left" w:pos="2422"/>
        </w:tabs>
        <w:snapToGrid w:val="0"/>
        <w:rPr>
          <w:rFonts w:ascii="仿宋_GB2312" w:eastAsia="仿宋_GB2312"/>
          <w:b/>
          <w:sz w:val="28"/>
          <w:szCs w:val="28"/>
        </w:rPr>
      </w:pPr>
    </w:p>
    <w:p w14:paraId="26E6E56E">
      <w:pPr>
        <w:tabs>
          <w:tab w:val="left" w:pos="2422"/>
        </w:tabs>
        <w:snapToGrid w:val="0"/>
        <w:rPr>
          <w:rFonts w:ascii="仿宋_GB2312" w:eastAsia="仿宋_GB2312"/>
          <w:b/>
          <w:sz w:val="28"/>
          <w:szCs w:val="28"/>
        </w:rPr>
      </w:pPr>
    </w:p>
    <w:p w14:paraId="05669CA5">
      <w:pPr>
        <w:tabs>
          <w:tab w:val="left" w:pos="2422"/>
        </w:tabs>
        <w:snapToGrid w:val="0"/>
        <w:rPr>
          <w:rFonts w:ascii="仿宋_GB2312" w:eastAsia="仿宋_GB2312"/>
          <w:b/>
          <w:sz w:val="28"/>
          <w:szCs w:val="28"/>
        </w:rPr>
      </w:pPr>
    </w:p>
    <w:p w14:paraId="7567DFCD">
      <w:pPr>
        <w:tabs>
          <w:tab w:val="left" w:pos="2422"/>
        </w:tabs>
        <w:snapToGrid w:val="0"/>
        <w:rPr>
          <w:rFonts w:ascii="仿宋_GB2312" w:eastAsia="仿宋_GB2312"/>
          <w:b/>
          <w:sz w:val="28"/>
          <w:szCs w:val="28"/>
        </w:rPr>
      </w:pPr>
    </w:p>
    <w:p w14:paraId="0F399334">
      <w:pPr>
        <w:tabs>
          <w:tab w:val="left" w:pos="2422"/>
        </w:tabs>
        <w:snapToGrid w:val="0"/>
        <w:rPr>
          <w:rFonts w:ascii="仿宋_GB2312" w:eastAsia="仿宋_GB2312"/>
          <w:b/>
          <w:sz w:val="28"/>
          <w:szCs w:val="28"/>
        </w:rPr>
      </w:pPr>
    </w:p>
    <w:p w14:paraId="2CB1721C">
      <w:pPr>
        <w:tabs>
          <w:tab w:val="left" w:pos="2422"/>
        </w:tabs>
        <w:snapToGrid w:val="0"/>
        <w:rPr>
          <w:rFonts w:ascii="仿宋_GB2312" w:eastAsia="仿宋_GB2312"/>
          <w:b/>
          <w:sz w:val="28"/>
          <w:szCs w:val="28"/>
        </w:rPr>
      </w:pPr>
    </w:p>
    <w:p w14:paraId="27DEC5FB">
      <w:pPr>
        <w:tabs>
          <w:tab w:val="left" w:pos="2422"/>
        </w:tabs>
        <w:snapToGrid w:val="0"/>
        <w:rPr>
          <w:rFonts w:ascii="仿宋_GB2312" w:eastAsia="仿宋_GB2312"/>
          <w:b/>
          <w:sz w:val="28"/>
          <w:szCs w:val="28"/>
        </w:rPr>
      </w:pPr>
    </w:p>
    <w:p w14:paraId="60F07B49">
      <w:pPr>
        <w:tabs>
          <w:tab w:val="left" w:pos="2422"/>
        </w:tabs>
        <w:snapToGrid w:val="0"/>
        <w:rPr>
          <w:rFonts w:ascii="仿宋_GB2312" w:eastAsia="仿宋_GB2312"/>
          <w:b/>
          <w:sz w:val="28"/>
          <w:szCs w:val="28"/>
        </w:rPr>
      </w:pPr>
    </w:p>
    <w:p w14:paraId="5E818685">
      <w:pPr>
        <w:tabs>
          <w:tab w:val="left" w:pos="2422"/>
        </w:tabs>
        <w:snapToGrid w:val="0"/>
        <w:rPr>
          <w:rFonts w:ascii="仿宋_GB2312" w:eastAsia="仿宋_GB2312"/>
          <w:b/>
          <w:sz w:val="28"/>
          <w:szCs w:val="28"/>
        </w:rPr>
      </w:pPr>
    </w:p>
    <w:p w14:paraId="5ECC0C49">
      <w:pPr>
        <w:tabs>
          <w:tab w:val="left" w:pos="2422"/>
        </w:tabs>
        <w:snapToGrid w:val="0"/>
        <w:rPr>
          <w:rFonts w:ascii="仿宋_GB2312" w:eastAsia="仿宋_GB2312"/>
          <w:b/>
          <w:sz w:val="28"/>
          <w:szCs w:val="28"/>
        </w:rPr>
      </w:pPr>
    </w:p>
    <w:p w14:paraId="38F77BCC">
      <w:pPr>
        <w:tabs>
          <w:tab w:val="left" w:pos="2422"/>
        </w:tabs>
        <w:snapToGrid w:val="0"/>
        <w:rPr>
          <w:rFonts w:ascii="仿宋_GB2312" w:eastAsia="仿宋_GB2312"/>
          <w:b/>
          <w:sz w:val="28"/>
          <w:szCs w:val="28"/>
        </w:rPr>
      </w:pPr>
    </w:p>
    <w:p w14:paraId="234DCB02">
      <w:pPr>
        <w:tabs>
          <w:tab w:val="left" w:pos="2422"/>
        </w:tabs>
        <w:snapToGrid w:val="0"/>
        <w:rPr>
          <w:rFonts w:ascii="仿宋_GB2312" w:eastAsia="仿宋_GB2312"/>
          <w:b/>
          <w:sz w:val="28"/>
          <w:szCs w:val="28"/>
        </w:rPr>
      </w:pPr>
    </w:p>
    <w:p w14:paraId="34E7909B">
      <w:pPr>
        <w:tabs>
          <w:tab w:val="left" w:pos="2422"/>
        </w:tabs>
        <w:snapToGrid w:val="0"/>
        <w:rPr>
          <w:rFonts w:ascii="仿宋_GB2312" w:eastAsia="仿宋_GB2312"/>
          <w:b/>
          <w:sz w:val="28"/>
          <w:szCs w:val="28"/>
        </w:rPr>
      </w:pPr>
    </w:p>
    <w:p w14:paraId="37F44F88">
      <w:pPr>
        <w:tabs>
          <w:tab w:val="left" w:pos="2422"/>
        </w:tabs>
        <w:snapToGrid w:val="0"/>
        <w:rPr>
          <w:rFonts w:ascii="仿宋_GB2312" w:eastAsia="仿宋_GB2312"/>
          <w:b/>
          <w:sz w:val="28"/>
          <w:szCs w:val="28"/>
        </w:rPr>
      </w:pPr>
    </w:p>
    <w:p w14:paraId="4E6ADEEE">
      <w:pPr>
        <w:tabs>
          <w:tab w:val="left" w:pos="2422"/>
        </w:tabs>
        <w:snapToGrid w:val="0"/>
        <w:rPr>
          <w:rFonts w:ascii="仿宋_GB2312" w:eastAsia="仿宋_GB2312"/>
          <w:b/>
          <w:sz w:val="28"/>
          <w:szCs w:val="28"/>
        </w:rPr>
      </w:pPr>
    </w:p>
    <w:p w14:paraId="5924463C">
      <w:pPr>
        <w:tabs>
          <w:tab w:val="left" w:pos="2422"/>
        </w:tabs>
        <w:snapToGrid w:val="0"/>
        <w:rPr>
          <w:rFonts w:ascii="仿宋_GB2312" w:eastAsia="仿宋_GB2312"/>
          <w:b/>
          <w:sz w:val="28"/>
          <w:szCs w:val="28"/>
        </w:rPr>
      </w:pPr>
    </w:p>
    <w:p w14:paraId="20D922FF">
      <w:pPr>
        <w:tabs>
          <w:tab w:val="left" w:pos="2422"/>
        </w:tabs>
        <w:snapToGrid w:val="0"/>
        <w:rPr>
          <w:rFonts w:ascii="仿宋_GB2312" w:eastAsia="仿宋_GB2312"/>
          <w:b/>
          <w:sz w:val="28"/>
          <w:szCs w:val="28"/>
        </w:rPr>
      </w:pPr>
    </w:p>
    <w:p w14:paraId="37C4B6D2">
      <w:pPr>
        <w:tabs>
          <w:tab w:val="left" w:pos="2422"/>
        </w:tabs>
        <w:snapToGrid w:val="0"/>
        <w:rPr>
          <w:rFonts w:ascii="仿宋_GB2312" w:eastAsia="仿宋_GB2312"/>
          <w:b/>
          <w:sz w:val="28"/>
          <w:szCs w:val="28"/>
        </w:rPr>
      </w:pPr>
    </w:p>
    <w:p w14:paraId="56BEAC8E">
      <w:pPr>
        <w:tabs>
          <w:tab w:val="left" w:pos="2422"/>
        </w:tabs>
        <w:snapToGrid w:val="0"/>
        <w:rPr>
          <w:rFonts w:ascii="仿宋_GB2312" w:eastAsia="仿宋_GB2312"/>
          <w:b/>
          <w:sz w:val="28"/>
          <w:szCs w:val="28"/>
        </w:rPr>
      </w:pPr>
    </w:p>
    <w:p w14:paraId="1B75B5BA">
      <w:pPr>
        <w:tabs>
          <w:tab w:val="left" w:pos="2422"/>
        </w:tabs>
        <w:snapToGrid w:val="0"/>
        <w:rPr>
          <w:rFonts w:ascii="仿宋_GB2312" w:eastAsia="仿宋_GB2312"/>
          <w:b/>
          <w:sz w:val="28"/>
          <w:szCs w:val="28"/>
        </w:rPr>
      </w:pPr>
    </w:p>
    <w:p w14:paraId="0E848A06">
      <w:pPr>
        <w:tabs>
          <w:tab w:val="left" w:pos="2422"/>
        </w:tabs>
        <w:snapToGrid w:val="0"/>
        <w:rPr>
          <w:rFonts w:ascii="仿宋_GB2312" w:eastAsia="仿宋_GB2312"/>
          <w:b/>
          <w:sz w:val="28"/>
          <w:szCs w:val="28"/>
        </w:rPr>
      </w:pPr>
      <w:r>
        <w:rPr>
          <w:rFonts w:hint="eastAsia" w:ascii="仿宋_GB2312" w:eastAsia="仿宋_GB2312"/>
          <w:b/>
          <w:sz w:val="28"/>
          <w:szCs w:val="28"/>
        </w:rPr>
        <w:t>附件一：</w:t>
      </w:r>
    </w:p>
    <w:p w14:paraId="2988D585">
      <w:pPr>
        <w:snapToGrid w:val="0"/>
        <w:jc w:val="center"/>
        <w:rPr>
          <w:rFonts w:ascii="仿宋_GB2312" w:eastAsia="仿宋_GB2312"/>
          <w:b/>
          <w:sz w:val="36"/>
          <w:szCs w:val="36"/>
        </w:rPr>
      </w:pPr>
      <w:r>
        <w:rPr>
          <w:rFonts w:hint="eastAsia" w:ascii="仿宋_GB2312" w:eastAsia="仿宋_GB2312"/>
          <w:b/>
          <w:sz w:val="36"/>
          <w:szCs w:val="36"/>
        </w:rPr>
        <w:t>授   权   委   托   书</w:t>
      </w:r>
    </w:p>
    <w:p w14:paraId="77D6F6F8">
      <w:pPr>
        <w:snapToGrid w:val="0"/>
        <w:ind w:firstLine="397"/>
        <w:jc w:val="center"/>
        <w:rPr>
          <w:rFonts w:ascii="仿宋_GB2312" w:eastAsia="仿宋_GB2312"/>
          <w:sz w:val="24"/>
          <w:szCs w:val="20"/>
        </w:rPr>
      </w:pPr>
      <w:r>
        <w:rPr>
          <w:rFonts w:hint="eastAsia" w:ascii="仿宋_GB2312" w:eastAsia="仿宋_GB2312"/>
          <w:sz w:val="24"/>
        </w:rPr>
        <w:t> </w:t>
      </w:r>
    </w:p>
    <w:p w14:paraId="6DE5E425">
      <w:pPr>
        <w:snapToGrid w:val="0"/>
        <w:ind w:firstLine="397"/>
        <w:jc w:val="center"/>
        <w:rPr>
          <w:rFonts w:ascii="仿宋_GB2312" w:eastAsia="仿宋_GB2312"/>
          <w:sz w:val="24"/>
          <w:szCs w:val="20"/>
        </w:rPr>
      </w:pPr>
      <w:r>
        <w:rPr>
          <w:rFonts w:hint="eastAsia" w:ascii="仿宋_GB2312" w:eastAsia="仿宋_GB2312"/>
          <w:sz w:val="24"/>
        </w:rPr>
        <w:t> </w:t>
      </w:r>
    </w:p>
    <w:p w14:paraId="4DED6E9B">
      <w:pPr>
        <w:adjustRightInd w:val="0"/>
        <w:snapToGrid w:val="0"/>
        <w:spacing w:line="360" w:lineRule="auto"/>
        <w:ind w:firstLine="397"/>
        <w:rPr>
          <w:rFonts w:ascii="仿宋_GB2312" w:eastAsia="仿宋_GB2312"/>
          <w:sz w:val="24"/>
          <w:szCs w:val="20"/>
        </w:rPr>
      </w:pPr>
      <w:r>
        <w:rPr>
          <w:rFonts w:hint="eastAsia" w:ascii="仿宋_GB2312" w:eastAsia="仿宋_GB2312"/>
          <w:sz w:val="24"/>
        </w:rPr>
        <w:t>本授权书声明：________________________________________（投标人名称）的_________________________（法定代表人姓名、职务）代表投标人授权______________________________（被授权人的姓名、职务）为合法代理人，并授权其全权负责参加本次政府采购招标项目的投标、签订合约以及与之相关的各项工作。本投标人对被授权人的签名负全部责任。</w:t>
      </w:r>
    </w:p>
    <w:p w14:paraId="56CD7612">
      <w:pPr>
        <w:adjustRightInd w:val="0"/>
        <w:snapToGrid w:val="0"/>
        <w:spacing w:line="360" w:lineRule="auto"/>
        <w:ind w:firstLine="397"/>
        <w:rPr>
          <w:rFonts w:ascii="仿宋_GB2312" w:eastAsia="仿宋_GB2312"/>
          <w:sz w:val="24"/>
          <w:szCs w:val="20"/>
        </w:rPr>
      </w:pPr>
      <w:r>
        <w:rPr>
          <w:rFonts w:hint="eastAsia" w:ascii="仿宋_GB2312" w:eastAsia="仿宋_GB2312"/>
          <w:sz w:val="24"/>
        </w:rPr>
        <w:t>本授权书于__________年_______月________日签字生效，特此声明。</w:t>
      </w:r>
    </w:p>
    <w:p w14:paraId="44F99C4C">
      <w:pPr>
        <w:adjustRightInd w:val="0"/>
        <w:snapToGrid w:val="0"/>
        <w:spacing w:line="360" w:lineRule="auto"/>
        <w:ind w:firstLine="397"/>
        <w:rPr>
          <w:rFonts w:ascii="仿宋_GB2312" w:eastAsia="仿宋_GB2312"/>
          <w:sz w:val="24"/>
          <w:szCs w:val="20"/>
        </w:rPr>
      </w:pPr>
      <w:r>
        <w:rPr>
          <w:rFonts w:hint="eastAsia" w:ascii="仿宋_GB2312" w:eastAsia="仿宋_GB2312"/>
          <w:sz w:val="24"/>
        </w:rPr>
        <w:t> </w:t>
      </w:r>
    </w:p>
    <w:p w14:paraId="5A918CFA">
      <w:pPr>
        <w:adjustRightInd w:val="0"/>
        <w:snapToGrid w:val="0"/>
        <w:spacing w:line="360" w:lineRule="auto"/>
        <w:ind w:firstLine="397"/>
        <w:rPr>
          <w:rFonts w:ascii="仿宋_GB2312" w:eastAsia="仿宋_GB2312"/>
          <w:sz w:val="24"/>
          <w:szCs w:val="20"/>
        </w:rPr>
      </w:pPr>
      <w:r>
        <w:rPr>
          <w:rFonts w:hint="eastAsia" w:ascii="仿宋_GB2312" w:eastAsia="仿宋_GB2312"/>
          <w:sz w:val="24"/>
        </w:rPr>
        <w:t xml:space="preserve">法定代表人签字或盖章： </w:t>
      </w:r>
    </w:p>
    <w:p w14:paraId="4CADE173">
      <w:pPr>
        <w:snapToGrid w:val="0"/>
        <w:rPr>
          <w:rFonts w:ascii="仿宋_GB2312" w:eastAsia="仿宋_GB2312"/>
          <w:sz w:val="24"/>
          <w:szCs w:val="20"/>
        </w:rPr>
      </w:pPr>
      <w:r>
        <w:rPr>
          <w:rFonts w:hint="eastAsia" w:ascii="仿宋_GB2312" w:eastAsia="仿宋_GB2312"/>
          <w:sz w:val="24"/>
        </w:rPr>
        <w:t> </w:t>
      </w:r>
    </w:p>
    <w:p w14:paraId="641E143E">
      <w:pPr>
        <w:snapToGrid w:val="0"/>
        <w:rPr>
          <w:rFonts w:ascii="仿宋_GB2312" w:eastAsia="仿宋_GB2312"/>
          <w:sz w:val="24"/>
          <w:szCs w:val="20"/>
        </w:rPr>
      </w:pPr>
      <w:r>
        <w:rPr>
          <w:rFonts w:hint="eastAsia" w:ascii="仿宋_GB2312" w:eastAsia="仿宋_GB2312"/>
          <w:sz w:val="24"/>
        </w:rPr>
        <w:t> </w:t>
      </w:r>
    </w:p>
    <w:p w14:paraId="06F60492">
      <w:pPr>
        <w:snapToGrid w:val="0"/>
        <w:ind w:firstLine="397"/>
        <w:rPr>
          <w:rFonts w:ascii="仿宋_GB2312" w:eastAsia="仿宋_GB2312"/>
          <w:sz w:val="24"/>
          <w:szCs w:val="20"/>
        </w:rPr>
      </w:pPr>
      <w:r>
        <w:rPr>
          <w:rFonts w:hint="eastAsia" w:ascii="仿宋_GB2312" w:eastAsia="仿宋_GB2312"/>
          <w:sz w:val="24"/>
        </w:rPr>
        <w:t xml:space="preserve">职        务： </w:t>
      </w:r>
    </w:p>
    <w:p w14:paraId="76333867">
      <w:pPr>
        <w:snapToGrid w:val="0"/>
        <w:rPr>
          <w:rFonts w:ascii="仿宋_GB2312" w:eastAsia="仿宋_GB2312"/>
          <w:sz w:val="24"/>
          <w:szCs w:val="20"/>
        </w:rPr>
      </w:pPr>
      <w:r>
        <w:rPr>
          <w:rFonts w:hint="eastAsia" w:ascii="仿宋_GB2312" w:eastAsia="仿宋_GB2312"/>
          <w:sz w:val="24"/>
        </w:rPr>
        <w:t> </w:t>
      </w:r>
    </w:p>
    <w:p w14:paraId="73F03EDC">
      <w:pPr>
        <w:snapToGrid w:val="0"/>
        <w:rPr>
          <w:rFonts w:ascii="仿宋_GB2312" w:eastAsia="仿宋_GB2312"/>
          <w:sz w:val="24"/>
          <w:szCs w:val="20"/>
        </w:rPr>
      </w:pPr>
      <w:r>
        <w:rPr>
          <w:rFonts w:hint="eastAsia" w:ascii="仿宋_GB2312" w:eastAsia="仿宋_GB2312"/>
          <w:sz w:val="24"/>
        </w:rPr>
        <w:t> </w:t>
      </w:r>
    </w:p>
    <w:p w14:paraId="269C4004">
      <w:pPr>
        <w:snapToGrid w:val="0"/>
        <w:ind w:firstLine="397"/>
        <w:rPr>
          <w:rFonts w:ascii="仿宋_GB2312" w:eastAsia="仿宋_GB2312"/>
          <w:sz w:val="24"/>
          <w:szCs w:val="20"/>
        </w:rPr>
      </w:pPr>
      <w:r>
        <w:rPr>
          <w:rFonts w:hint="eastAsia" w:ascii="仿宋_GB2312" w:eastAsia="仿宋_GB2312"/>
          <w:sz w:val="24"/>
        </w:rPr>
        <w:t xml:space="preserve">单位名称： </w:t>
      </w:r>
    </w:p>
    <w:p w14:paraId="1792954E">
      <w:pPr>
        <w:snapToGrid w:val="0"/>
        <w:rPr>
          <w:rFonts w:ascii="仿宋_GB2312" w:eastAsia="仿宋_GB2312"/>
          <w:sz w:val="24"/>
          <w:szCs w:val="20"/>
        </w:rPr>
      </w:pPr>
      <w:r>
        <w:rPr>
          <w:rFonts w:hint="eastAsia" w:ascii="仿宋_GB2312" w:eastAsia="仿宋_GB2312"/>
          <w:sz w:val="24"/>
        </w:rPr>
        <w:t> </w:t>
      </w:r>
    </w:p>
    <w:p w14:paraId="5BFFBCDE">
      <w:pPr>
        <w:snapToGrid w:val="0"/>
        <w:rPr>
          <w:rFonts w:ascii="仿宋_GB2312" w:eastAsia="仿宋_GB2312"/>
          <w:sz w:val="24"/>
          <w:szCs w:val="20"/>
        </w:rPr>
      </w:pPr>
      <w:r>
        <w:rPr>
          <w:rFonts w:hint="eastAsia" w:ascii="仿宋_GB2312" w:eastAsia="仿宋_GB2312"/>
          <w:sz w:val="24"/>
        </w:rPr>
        <w:t> </w:t>
      </w:r>
    </w:p>
    <w:p w14:paraId="529F959B">
      <w:pPr>
        <w:snapToGrid w:val="0"/>
        <w:ind w:firstLine="397"/>
        <w:rPr>
          <w:rFonts w:ascii="仿宋_GB2312" w:eastAsia="仿宋_GB2312"/>
          <w:sz w:val="24"/>
          <w:szCs w:val="20"/>
        </w:rPr>
      </w:pPr>
      <w:r>
        <w:rPr>
          <w:rFonts w:hint="eastAsia" w:ascii="仿宋_GB2312" w:eastAsia="仿宋_GB2312"/>
          <w:sz w:val="24"/>
        </w:rPr>
        <w:t xml:space="preserve">地        址： </w:t>
      </w:r>
    </w:p>
    <w:p w14:paraId="2BEE0063">
      <w:pPr>
        <w:snapToGrid w:val="0"/>
        <w:rPr>
          <w:rFonts w:ascii="仿宋_GB2312" w:eastAsia="仿宋_GB2312"/>
          <w:sz w:val="24"/>
          <w:szCs w:val="20"/>
        </w:rPr>
      </w:pPr>
      <w:r>
        <w:rPr>
          <w:rFonts w:hint="eastAsia" w:ascii="仿宋_GB2312" w:eastAsia="仿宋_GB2312"/>
          <w:sz w:val="24"/>
        </w:rPr>
        <w:t> </w:t>
      </w:r>
    </w:p>
    <w:p w14:paraId="3562A80E">
      <w:pPr>
        <w:snapToGrid w:val="0"/>
        <w:rPr>
          <w:rFonts w:ascii="仿宋_GB2312" w:eastAsia="仿宋_GB2312"/>
          <w:sz w:val="24"/>
          <w:szCs w:val="20"/>
        </w:rPr>
      </w:pPr>
      <w:r>
        <w:rPr>
          <w:rFonts w:hint="eastAsia" w:ascii="仿宋_GB2312" w:eastAsia="仿宋_GB2312"/>
          <w:sz w:val="24"/>
        </w:rPr>
        <w:t> </w:t>
      </w:r>
    </w:p>
    <w:p w14:paraId="56B09D85">
      <w:pPr>
        <w:snapToGrid w:val="0"/>
        <w:ind w:firstLine="397"/>
        <w:rPr>
          <w:rFonts w:ascii="仿宋_GB2312" w:eastAsia="仿宋_GB2312"/>
          <w:sz w:val="24"/>
          <w:szCs w:val="20"/>
        </w:rPr>
      </w:pPr>
      <w:r>
        <w:rPr>
          <w:rFonts w:hint="eastAsia" w:ascii="仿宋_GB2312" w:eastAsia="仿宋_GB2312"/>
          <w:sz w:val="24"/>
        </w:rPr>
        <w:t>代理人（被授权人）签字：</w:t>
      </w:r>
    </w:p>
    <w:p w14:paraId="515E6390">
      <w:pPr>
        <w:snapToGrid w:val="0"/>
        <w:rPr>
          <w:rFonts w:ascii="仿宋_GB2312" w:eastAsia="仿宋_GB2312"/>
          <w:sz w:val="24"/>
          <w:szCs w:val="20"/>
        </w:rPr>
      </w:pPr>
      <w:r>
        <w:rPr>
          <w:rFonts w:hint="eastAsia" w:ascii="仿宋_GB2312" w:eastAsia="仿宋_GB2312"/>
          <w:sz w:val="24"/>
        </w:rPr>
        <w:t> </w:t>
      </w:r>
    </w:p>
    <w:p w14:paraId="5F0929F0">
      <w:pPr>
        <w:snapToGrid w:val="0"/>
        <w:rPr>
          <w:rFonts w:ascii="仿宋_GB2312" w:eastAsia="仿宋_GB2312"/>
          <w:sz w:val="24"/>
          <w:szCs w:val="20"/>
        </w:rPr>
      </w:pPr>
      <w:r>
        <w:rPr>
          <w:rFonts w:hint="eastAsia" w:ascii="仿宋_GB2312" w:eastAsia="仿宋_GB2312"/>
          <w:sz w:val="24"/>
        </w:rPr>
        <w:t> </w:t>
      </w:r>
    </w:p>
    <w:p w14:paraId="5BC546F2">
      <w:pPr>
        <w:snapToGrid w:val="0"/>
        <w:ind w:firstLine="397"/>
        <w:rPr>
          <w:rFonts w:ascii="仿宋_GB2312" w:eastAsia="仿宋_GB2312"/>
          <w:sz w:val="24"/>
          <w:szCs w:val="20"/>
        </w:rPr>
      </w:pPr>
      <w:r>
        <w:rPr>
          <w:rFonts w:hint="eastAsia" w:ascii="仿宋_GB2312" w:eastAsia="仿宋_GB2312"/>
          <w:sz w:val="24"/>
        </w:rPr>
        <w:t xml:space="preserve">职       务： </w:t>
      </w:r>
    </w:p>
    <w:p w14:paraId="72F8176D">
      <w:pPr>
        <w:snapToGrid w:val="0"/>
        <w:rPr>
          <w:rFonts w:ascii="仿宋_GB2312" w:eastAsia="仿宋_GB2312"/>
          <w:sz w:val="24"/>
          <w:szCs w:val="20"/>
        </w:rPr>
      </w:pPr>
      <w:r>
        <w:rPr>
          <w:rFonts w:hint="eastAsia" w:ascii="仿宋_GB2312" w:eastAsia="仿宋_GB2312"/>
          <w:sz w:val="24"/>
        </w:rPr>
        <w:t> </w:t>
      </w:r>
    </w:p>
    <w:p w14:paraId="12660F1F">
      <w:pPr>
        <w:snapToGrid w:val="0"/>
        <w:rPr>
          <w:rFonts w:ascii="仿宋_GB2312" w:eastAsia="仿宋_GB2312"/>
          <w:sz w:val="24"/>
          <w:szCs w:val="20"/>
        </w:rPr>
      </w:pPr>
      <w:r>
        <w:rPr>
          <w:rFonts w:hint="eastAsia" w:ascii="仿宋_GB2312" w:eastAsia="仿宋_GB2312"/>
          <w:sz w:val="24"/>
        </w:rPr>
        <w:t> </w:t>
      </w:r>
    </w:p>
    <w:p w14:paraId="325E6C25">
      <w:pPr>
        <w:snapToGrid w:val="0"/>
        <w:ind w:firstLine="397"/>
        <w:rPr>
          <w:rFonts w:ascii="仿宋_GB2312" w:eastAsia="仿宋_GB2312"/>
          <w:sz w:val="24"/>
          <w:szCs w:val="20"/>
        </w:rPr>
      </w:pPr>
      <w:r>
        <w:rPr>
          <w:rFonts w:hint="eastAsia" w:ascii="仿宋_GB2312" w:eastAsia="仿宋_GB2312"/>
          <w:sz w:val="24"/>
        </w:rPr>
        <w:t xml:space="preserve">单位名称： </w:t>
      </w:r>
    </w:p>
    <w:p w14:paraId="614AB03D">
      <w:pPr>
        <w:snapToGrid w:val="0"/>
        <w:rPr>
          <w:rFonts w:ascii="仿宋_GB2312" w:eastAsia="仿宋_GB2312"/>
          <w:sz w:val="24"/>
          <w:szCs w:val="20"/>
        </w:rPr>
      </w:pPr>
      <w:r>
        <w:rPr>
          <w:rFonts w:hint="eastAsia" w:ascii="仿宋_GB2312" w:eastAsia="仿宋_GB2312"/>
          <w:sz w:val="24"/>
        </w:rPr>
        <w:t> </w:t>
      </w:r>
    </w:p>
    <w:p w14:paraId="4AF5ED94">
      <w:pPr>
        <w:snapToGrid w:val="0"/>
        <w:rPr>
          <w:rFonts w:ascii="仿宋_GB2312" w:eastAsia="仿宋_GB2312"/>
          <w:sz w:val="24"/>
          <w:szCs w:val="20"/>
        </w:rPr>
      </w:pPr>
      <w:r>
        <w:rPr>
          <w:rFonts w:hint="eastAsia" w:ascii="仿宋_GB2312" w:eastAsia="仿宋_GB2312"/>
          <w:sz w:val="24"/>
        </w:rPr>
        <w:t> </w:t>
      </w:r>
    </w:p>
    <w:p w14:paraId="2062627D">
      <w:pPr>
        <w:snapToGrid w:val="0"/>
        <w:ind w:firstLine="397"/>
        <w:rPr>
          <w:rFonts w:ascii="仿宋_GB2312" w:eastAsia="仿宋_GB2312"/>
          <w:sz w:val="24"/>
          <w:szCs w:val="20"/>
        </w:rPr>
      </w:pPr>
      <w:r>
        <w:rPr>
          <w:rFonts w:hint="eastAsia" w:ascii="仿宋_GB2312" w:eastAsia="仿宋_GB2312"/>
          <w:sz w:val="24"/>
        </w:rPr>
        <w:t>地        址：</w:t>
      </w:r>
    </w:p>
    <w:p w14:paraId="351CFC54">
      <w:pPr>
        <w:snapToGrid w:val="0"/>
        <w:rPr>
          <w:rFonts w:ascii="仿宋_GB2312" w:eastAsia="仿宋_GB2312"/>
          <w:sz w:val="24"/>
          <w:szCs w:val="20"/>
        </w:rPr>
      </w:pPr>
      <w:r>
        <w:rPr>
          <w:rFonts w:hint="eastAsia" w:ascii="仿宋_GB2312" w:eastAsia="仿宋_GB2312"/>
          <w:sz w:val="24"/>
        </w:rPr>
        <w:t> </w:t>
      </w:r>
    </w:p>
    <w:p w14:paraId="304A1261">
      <w:pPr>
        <w:snapToGrid w:val="0"/>
        <w:rPr>
          <w:rFonts w:ascii="仿宋_GB2312" w:eastAsia="仿宋_GB2312"/>
          <w:sz w:val="24"/>
          <w:szCs w:val="20"/>
        </w:rPr>
      </w:pPr>
      <w:r>
        <w:rPr>
          <w:rFonts w:hint="eastAsia" w:ascii="仿宋_GB2312" w:eastAsia="仿宋_GB2312"/>
          <w:sz w:val="24"/>
        </w:rPr>
        <w:t> </w:t>
      </w:r>
    </w:p>
    <w:p w14:paraId="1AD6B90F">
      <w:pPr>
        <w:snapToGrid w:val="0"/>
        <w:ind w:firstLine="397"/>
        <w:rPr>
          <w:rFonts w:ascii="仿宋_GB2312" w:eastAsia="仿宋_GB2312"/>
          <w:sz w:val="24"/>
          <w:szCs w:val="20"/>
        </w:rPr>
      </w:pPr>
      <w:r>
        <w:rPr>
          <w:rFonts w:hint="eastAsia" w:ascii="仿宋_GB2312" w:eastAsia="仿宋_GB2312"/>
          <w:sz w:val="24"/>
        </w:rPr>
        <w:t>投标人名称（公章）：</w:t>
      </w:r>
    </w:p>
    <w:p w14:paraId="04EDB554">
      <w:pPr>
        <w:snapToGrid w:val="0"/>
        <w:rPr>
          <w:rFonts w:ascii="仿宋_GB2312" w:eastAsia="仿宋_GB2312"/>
          <w:sz w:val="24"/>
          <w:szCs w:val="20"/>
        </w:rPr>
      </w:pPr>
      <w:r>
        <w:rPr>
          <w:rFonts w:hint="eastAsia" w:ascii="仿宋_GB2312" w:eastAsia="仿宋_GB2312"/>
          <w:sz w:val="24"/>
        </w:rPr>
        <w:t> </w:t>
      </w:r>
    </w:p>
    <w:p w14:paraId="6EACF5D9">
      <w:pPr>
        <w:snapToGrid w:val="0"/>
        <w:ind w:firstLine="397"/>
        <w:rPr>
          <w:rFonts w:ascii="仿宋_GB2312" w:eastAsia="仿宋_GB2312"/>
          <w:sz w:val="24"/>
          <w:szCs w:val="20"/>
        </w:rPr>
      </w:pPr>
      <w:r>
        <w:rPr>
          <w:rFonts w:hint="eastAsia" w:ascii="仿宋_GB2312" w:eastAsia="仿宋_GB2312"/>
          <w:sz w:val="24"/>
        </w:rPr>
        <w:t xml:space="preserve">日      期： </w:t>
      </w:r>
    </w:p>
    <w:p w14:paraId="3C8760DD">
      <w:pPr>
        <w:snapToGrid w:val="0"/>
        <w:rPr>
          <w:rFonts w:ascii="仿宋_GB2312" w:eastAsia="仿宋_GB2312"/>
          <w:sz w:val="24"/>
          <w:szCs w:val="20"/>
        </w:rPr>
      </w:pPr>
      <w:r>
        <w:rPr>
          <w:rFonts w:hint="eastAsia" w:ascii="仿宋_GB2312" w:eastAsia="仿宋_GB2312"/>
          <w:sz w:val="24"/>
        </w:rPr>
        <w:t> </w:t>
      </w:r>
    </w:p>
    <w:p w14:paraId="2D37C212">
      <w:pPr>
        <w:snapToGrid w:val="0"/>
        <w:rPr>
          <w:rFonts w:ascii="仿宋_GB2312" w:eastAsia="仿宋_GB2312"/>
          <w:b/>
          <w:sz w:val="28"/>
          <w:szCs w:val="28"/>
        </w:rPr>
      </w:pPr>
    </w:p>
    <w:p w14:paraId="4577FC30">
      <w:pPr>
        <w:snapToGrid w:val="0"/>
        <w:rPr>
          <w:rFonts w:ascii="仿宋_GB2312" w:eastAsia="仿宋_GB2312"/>
          <w:b/>
          <w:sz w:val="28"/>
          <w:szCs w:val="28"/>
        </w:rPr>
      </w:pPr>
    </w:p>
    <w:p w14:paraId="0D419186">
      <w:pPr>
        <w:snapToGrid w:val="0"/>
        <w:rPr>
          <w:rFonts w:ascii="仿宋_GB2312" w:eastAsia="仿宋_GB2312"/>
          <w:b/>
          <w:sz w:val="28"/>
          <w:szCs w:val="28"/>
        </w:rPr>
      </w:pPr>
    </w:p>
    <w:p w14:paraId="2E80E161">
      <w:pPr>
        <w:snapToGrid w:val="0"/>
        <w:rPr>
          <w:rFonts w:ascii="仿宋_GB2312" w:eastAsia="仿宋_GB2312"/>
          <w:b/>
          <w:sz w:val="28"/>
          <w:szCs w:val="28"/>
        </w:rPr>
      </w:pPr>
      <w:r>
        <w:rPr>
          <w:rFonts w:hint="eastAsia" w:ascii="仿宋_GB2312" w:eastAsia="仿宋_GB2312"/>
          <w:b/>
          <w:sz w:val="28"/>
          <w:szCs w:val="28"/>
        </w:rPr>
        <w:t>附件二：</w:t>
      </w:r>
    </w:p>
    <w:p w14:paraId="51B3F26E">
      <w:pPr>
        <w:snapToGrid w:val="0"/>
        <w:jc w:val="center"/>
        <w:rPr>
          <w:rFonts w:ascii="仿宋_GB2312" w:eastAsia="仿宋_GB2312"/>
          <w:sz w:val="44"/>
          <w:szCs w:val="44"/>
        </w:rPr>
      </w:pPr>
      <w:r>
        <w:rPr>
          <w:rFonts w:hint="eastAsia" w:ascii="仿宋_GB2312" w:eastAsia="仿宋_GB2312"/>
          <w:sz w:val="44"/>
          <w:szCs w:val="44"/>
        </w:rPr>
        <w:t>投标人声明函</w:t>
      </w:r>
    </w:p>
    <w:p w14:paraId="65D2BE54">
      <w:pPr>
        <w:snapToGrid w:val="0"/>
        <w:rPr>
          <w:rFonts w:ascii="仿宋_GB2312" w:eastAsia="仿宋_GB2312"/>
          <w:sz w:val="30"/>
          <w:szCs w:val="20"/>
        </w:rPr>
      </w:pPr>
      <w:r>
        <w:rPr>
          <w:rFonts w:hint="eastAsia" w:ascii="仿宋_GB2312" w:eastAsia="仿宋_GB2312"/>
          <w:sz w:val="30"/>
        </w:rPr>
        <w:t> </w:t>
      </w:r>
    </w:p>
    <w:p w14:paraId="146CC125">
      <w:pPr>
        <w:snapToGrid w:val="0"/>
        <w:rPr>
          <w:rFonts w:ascii="仿宋_GB2312" w:eastAsia="仿宋_GB2312"/>
          <w:sz w:val="30"/>
          <w:szCs w:val="20"/>
        </w:rPr>
      </w:pPr>
      <w:r>
        <w:rPr>
          <w:rFonts w:hint="eastAsia" w:ascii="仿宋_GB2312" w:eastAsia="仿宋_GB2312"/>
          <w:sz w:val="30"/>
        </w:rPr>
        <w:t>常州市天宁区政府采购中心：</w:t>
      </w:r>
    </w:p>
    <w:p w14:paraId="3429F305">
      <w:pPr>
        <w:snapToGrid w:val="0"/>
        <w:ind w:firstLine="600" w:firstLineChars="200"/>
        <w:rPr>
          <w:rFonts w:ascii="仿宋_GB2312" w:eastAsia="仿宋_GB2312"/>
          <w:sz w:val="30"/>
          <w:szCs w:val="20"/>
        </w:rPr>
      </w:pPr>
      <w:r>
        <w:rPr>
          <w:rFonts w:hint="eastAsia" w:ascii="仿宋_GB2312" w:eastAsia="仿宋_GB2312"/>
          <w:sz w:val="30"/>
        </w:rPr>
        <w:t>我单位收到本次谈判文件，经仔细阅读和研究，决定参加竞争，愿意完全接受编制说明中的所有条件和要求。</w:t>
      </w:r>
    </w:p>
    <w:p w14:paraId="7FFBAECA">
      <w:pPr>
        <w:snapToGrid w:val="0"/>
        <w:ind w:left="600"/>
        <w:rPr>
          <w:rFonts w:ascii="仿宋_GB2312" w:eastAsia="仿宋_GB2312"/>
          <w:sz w:val="30"/>
          <w:szCs w:val="20"/>
        </w:rPr>
      </w:pPr>
      <w:r>
        <w:rPr>
          <w:rFonts w:hint="eastAsia" w:ascii="仿宋_GB2312" w:eastAsia="仿宋_GB2312"/>
          <w:sz w:val="30"/>
        </w:rPr>
        <w:t>1、愿意提供谈判文件中要求所有资料，并保证完全真实准确。</w:t>
      </w:r>
    </w:p>
    <w:p w14:paraId="73E40AD8">
      <w:pPr>
        <w:snapToGrid w:val="0"/>
        <w:ind w:firstLine="600" w:firstLineChars="200"/>
        <w:rPr>
          <w:rFonts w:ascii="仿宋_GB2312" w:eastAsia="仿宋_GB2312"/>
          <w:sz w:val="30"/>
          <w:szCs w:val="20"/>
        </w:rPr>
      </w:pPr>
      <w:r>
        <w:rPr>
          <w:rFonts w:hint="eastAsia" w:ascii="仿宋_GB2312" w:eastAsia="仿宋_GB2312"/>
          <w:sz w:val="30"/>
        </w:rPr>
        <w:t>2、应标材料在开标、评标、决标的全过程中，不作任何更改和变动。</w:t>
      </w:r>
    </w:p>
    <w:p w14:paraId="3370DE92">
      <w:pPr>
        <w:snapToGrid w:val="0"/>
        <w:ind w:firstLine="600" w:firstLineChars="200"/>
        <w:rPr>
          <w:rFonts w:ascii="仿宋_GB2312" w:eastAsia="仿宋_GB2312"/>
          <w:sz w:val="30"/>
          <w:szCs w:val="20"/>
        </w:rPr>
      </w:pPr>
      <w:r>
        <w:rPr>
          <w:rFonts w:hint="eastAsia" w:ascii="仿宋_GB2312" w:eastAsia="仿宋_GB2312"/>
          <w:sz w:val="30"/>
        </w:rPr>
        <w:t>3、愿意按照规定交纳履约保证金。</w:t>
      </w:r>
    </w:p>
    <w:p w14:paraId="5FDFA274">
      <w:pPr>
        <w:snapToGrid w:val="0"/>
        <w:ind w:firstLine="600" w:firstLineChars="200"/>
        <w:rPr>
          <w:rFonts w:ascii="仿宋_GB2312" w:eastAsia="仿宋_GB2312"/>
          <w:sz w:val="30"/>
          <w:szCs w:val="20"/>
        </w:rPr>
      </w:pPr>
      <w:r>
        <w:rPr>
          <w:rFonts w:hint="eastAsia" w:ascii="仿宋_GB2312" w:eastAsia="仿宋_GB2312"/>
          <w:sz w:val="30"/>
        </w:rPr>
        <w:t>4、我单位如果未按标书要求、合同规定等提出的各项承诺履行义务，愿意接受采购中心的处罚。</w:t>
      </w:r>
    </w:p>
    <w:p w14:paraId="3EE24B8F">
      <w:pPr>
        <w:snapToGrid w:val="0"/>
        <w:ind w:firstLine="600" w:firstLineChars="200"/>
        <w:rPr>
          <w:rFonts w:ascii="仿宋_GB2312" w:eastAsia="仿宋_GB2312"/>
          <w:sz w:val="30"/>
          <w:szCs w:val="20"/>
        </w:rPr>
      </w:pPr>
      <w:r>
        <w:rPr>
          <w:rFonts w:hint="eastAsia" w:ascii="仿宋_GB2312" w:eastAsia="仿宋_GB2312"/>
          <w:sz w:val="30"/>
        </w:rPr>
        <w:t>投标文件中所有关于投标资格文件、附件材料说明及证明陈述均是真实准确的，若有虚假和违背，我公司愿意承担由此而产生的一切后果。</w:t>
      </w:r>
    </w:p>
    <w:p w14:paraId="5C7DD220">
      <w:pPr>
        <w:snapToGrid w:val="0"/>
        <w:ind w:left="3900" w:hanging="3900" w:hangingChars="1300"/>
        <w:rPr>
          <w:rFonts w:ascii="仿宋_GB2312" w:eastAsia="仿宋_GB2312"/>
          <w:sz w:val="30"/>
          <w:szCs w:val="20"/>
        </w:rPr>
      </w:pPr>
    </w:p>
    <w:p w14:paraId="6E66E051">
      <w:pPr>
        <w:snapToGrid w:val="0"/>
        <w:ind w:left="3900" w:hanging="3900" w:hangingChars="1300"/>
        <w:rPr>
          <w:rFonts w:ascii="仿宋_GB2312" w:eastAsia="仿宋_GB2312"/>
          <w:sz w:val="30"/>
          <w:szCs w:val="20"/>
        </w:rPr>
      </w:pPr>
      <w:r>
        <w:rPr>
          <w:rFonts w:hint="eastAsia" w:ascii="仿宋_GB2312" w:eastAsia="仿宋_GB2312"/>
          <w:sz w:val="30"/>
        </w:rPr>
        <w:t> </w:t>
      </w:r>
    </w:p>
    <w:p w14:paraId="60772927">
      <w:pPr>
        <w:snapToGrid w:val="0"/>
        <w:ind w:left="3889" w:firstLine="300" w:firstLineChars="100"/>
        <w:rPr>
          <w:rFonts w:ascii="仿宋_GB2312" w:eastAsia="仿宋_GB2312"/>
          <w:sz w:val="30"/>
          <w:szCs w:val="20"/>
        </w:rPr>
      </w:pPr>
      <w:r>
        <w:rPr>
          <w:rFonts w:hint="eastAsia" w:ascii="仿宋_GB2312" w:eastAsia="仿宋_GB2312"/>
          <w:sz w:val="30"/>
        </w:rPr>
        <w:t>投标单位法人代表签字：</w:t>
      </w:r>
    </w:p>
    <w:p w14:paraId="2C5B5B97">
      <w:pPr>
        <w:snapToGrid w:val="0"/>
        <w:ind w:left="151" w:firstLine="4050" w:firstLineChars="1350"/>
        <w:rPr>
          <w:rFonts w:ascii="仿宋_GB2312" w:eastAsia="仿宋_GB2312"/>
          <w:sz w:val="30"/>
          <w:szCs w:val="20"/>
        </w:rPr>
      </w:pPr>
      <w:r>
        <w:rPr>
          <w:rFonts w:hint="eastAsia" w:ascii="仿宋_GB2312" w:eastAsia="仿宋_GB2312"/>
          <w:sz w:val="30"/>
        </w:rPr>
        <w:t>投标单位公章：</w:t>
      </w:r>
    </w:p>
    <w:p w14:paraId="60CD75A4">
      <w:pPr>
        <w:tabs>
          <w:tab w:val="left" w:pos="6045"/>
        </w:tabs>
        <w:snapToGrid w:val="0"/>
        <w:ind w:left="300" w:hanging="300" w:hangingChars="100"/>
        <w:rPr>
          <w:rFonts w:ascii="仿宋_GB2312" w:eastAsia="仿宋_GB2312"/>
          <w:sz w:val="30"/>
          <w:szCs w:val="20"/>
        </w:rPr>
      </w:pPr>
      <w:r>
        <w:rPr>
          <w:rFonts w:hint="eastAsia" w:ascii="仿宋_GB2312" w:eastAsia="仿宋_GB2312"/>
          <w:sz w:val="30"/>
        </w:rPr>
        <w:tab/>
      </w:r>
      <w:r>
        <w:rPr>
          <w:rFonts w:hint="eastAsia" w:ascii="仿宋_GB2312" w:eastAsia="仿宋_GB2312"/>
          <w:sz w:val="30"/>
        </w:rPr>
        <w:tab/>
      </w:r>
      <w:r>
        <w:rPr>
          <w:rFonts w:hint="eastAsia" w:ascii="仿宋_GB2312" w:eastAsia="仿宋_GB2312"/>
          <w:sz w:val="30"/>
        </w:rPr>
        <w:t>年  月  日</w:t>
      </w:r>
    </w:p>
    <w:p w14:paraId="16F104DE">
      <w:pPr>
        <w:snapToGrid w:val="0"/>
        <w:rPr>
          <w:rFonts w:ascii="仿宋_GB2312" w:eastAsia="仿宋_GB2312"/>
          <w:sz w:val="24"/>
          <w:szCs w:val="20"/>
        </w:rPr>
      </w:pPr>
      <w:r>
        <w:rPr>
          <w:rFonts w:hint="eastAsia" w:ascii="仿宋_GB2312" w:eastAsia="仿宋_GB2312"/>
          <w:sz w:val="24"/>
        </w:rPr>
        <w:t> </w:t>
      </w:r>
    </w:p>
    <w:p w14:paraId="7067777D">
      <w:pPr>
        <w:snapToGrid w:val="0"/>
        <w:rPr>
          <w:rFonts w:ascii="仿宋_GB2312" w:eastAsia="仿宋_GB2312"/>
          <w:sz w:val="24"/>
          <w:szCs w:val="20"/>
        </w:rPr>
      </w:pPr>
      <w:r>
        <w:rPr>
          <w:rFonts w:hint="eastAsia" w:ascii="仿宋_GB2312" w:eastAsia="仿宋_GB2312"/>
          <w:sz w:val="24"/>
        </w:rPr>
        <w:t> </w:t>
      </w:r>
    </w:p>
    <w:p w14:paraId="1AFCB27B">
      <w:pPr>
        <w:snapToGrid w:val="0"/>
        <w:rPr>
          <w:rFonts w:ascii="仿宋_GB2312" w:eastAsia="仿宋_GB2312"/>
          <w:sz w:val="24"/>
          <w:szCs w:val="20"/>
        </w:rPr>
      </w:pPr>
      <w:r>
        <w:rPr>
          <w:rFonts w:hint="eastAsia" w:ascii="仿宋_GB2312" w:eastAsia="仿宋_GB2312"/>
          <w:sz w:val="24"/>
        </w:rPr>
        <w:t> </w:t>
      </w:r>
    </w:p>
    <w:p w14:paraId="4FF17DE1">
      <w:pPr>
        <w:snapToGrid w:val="0"/>
        <w:rPr>
          <w:rFonts w:ascii="仿宋_GB2312" w:eastAsia="仿宋_GB2312"/>
          <w:sz w:val="24"/>
          <w:szCs w:val="20"/>
        </w:rPr>
      </w:pPr>
      <w:r>
        <w:rPr>
          <w:rFonts w:hint="eastAsia" w:ascii="仿宋_GB2312" w:eastAsia="仿宋_GB2312"/>
          <w:sz w:val="24"/>
        </w:rPr>
        <w:t> </w:t>
      </w:r>
    </w:p>
    <w:p w14:paraId="79BE2CCD">
      <w:pPr>
        <w:snapToGrid w:val="0"/>
        <w:rPr>
          <w:rFonts w:ascii="仿宋_GB2312" w:eastAsia="仿宋_GB2312"/>
          <w:sz w:val="24"/>
        </w:rPr>
      </w:pPr>
      <w:r>
        <w:rPr>
          <w:rFonts w:hint="eastAsia" w:ascii="仿宋_GB2312" w:eastAsia="仿宋_GB2312"/>
          <w:sz w:val="24"/>
        </w:rPr>
        <w:t> </w:t>
      </w:r>
    </w:p>
    <w:p w14:paraId="7BEB5294">
      <w:pPr>
        <w:snapToGrid w:val="0"/>
        <w:rPr>
          <w:rFonts w:ascii="仿宋_GB2312" w:eastAsia="仿宋_GB2312"/>
          <w:sz w:val="24"/>
        </w:rPr>
      </w:pPr>
    </w:p>
    <w:p w14:paraId="300E8F38">
      <w:pPr>
        <w:snapToGrid w:val="0"/>
        <w:rPr>
          <w:rFonts w:ascii="仿宋_GB2312" w:eastAsia="仿宋_GB2312"/>
          <w:sz w:val="24"/>
        </w:rPr>
      </w:pPr>
    </w:p>
    <w:p w14:paraId="50296FEA">
      <w:pPr>
        <w:snapToGrid w:val="0"/>
        <w:rPr>
          <w:rFonts w:ascii="仿宋_GB2312" w:eastAsia="仿宋_GB2312"/>
          <w:sz w:val="24"/>
        </w:rPr>
      </w:pPr>
    </w:p>
    <w:p w14:paraId="02E9AB84">
      <w:pPr>
        <w:snapToGrid w:val="0"/>
        <w:rPr>
          <w:rFonts w:ascii="仿宋_GB2312" w:eastAsia="仿宋_GB2312"/>
          <w:sz w:val="24"/>
        </w:rPr>
      </w:pPr>
    </w:p>
    <w:p w14:paraId="3CCA72F6">
      <w:pPr>
        <w:snapToGrid w:val="0"/>
        <w:rPr>
          <w:rFonts w:ascii="仿宋_GB2312" w:eastAsia="仿宋_GB2312"/>
          <w:sz w:val="24"/>
        </w:rPr>
      </w:pPr>
    </w:p>
    <w:p w14:paraId="5CDA4C7C">
      <w:pPr>
        <w:snapToGrid w:val="0"/>
        <w:rPr>
          <w:rFonts w:ascii="仿宋_GB2312" w:eastAsia="仿宋_GB2312"/>
          <w:sz w:val="24"/>
        </w:rPr>
      </w:pPr>
    </w:p>
    <w:p w14:paraId="133D1BEA">
      <w:pPr>
        <w:snapToGrid w:val="0"/>
        <w:rPr>
          <w:rFonts w:ascii="仿宋_GB2312" w:eastAsia="仿宋_GB2312"/>
          <w:sz w:val="24"/>
        </w:rPr>
      </w:pPr>
    </w:p>
    <w:p w14:paraId="327F6E9E">
      <w:pPr>
        <w:snapToGrid w:val="0"/>
        <w:rPr>
          <w:rFonts w:ascii="仿宋_GB2312" w:eastAsia="仿宋_GB2312"/>
          <w:sz w:val="24"/>
        </w:rPr>
      </w:pPr>
    </w:p>
    <w:p w14:paraId="63336250">
      <w:pPr>
        <w:snapToGrid w:val="0"/>
        <w:rPr>
          <w:rFonts w:ascii="仿宋_GB2312" w:eastAsia="仿宋_GB2312"/>
          <w:sz w:val="24"/>
        </w:rPr>
      </w:pPr>
    </w:p>
    <w:p w14:paraId="489F73F9">
      <w:pPr>
        <w:snapToGrid w:val="0"/>
        <w:rPr>
          <w:rFonts w:ascii="仿宋_GB2312" w:eastAsia="仿宋_GB2312"/>
          <w:sz w:val="24"/>
        </w:rPr>
      </w:pPr>
    </w:p>
    <w:p w14:paraId="11D6AA6A">
      <w:pPr>
        <w:snapToGrid w:val="0"/>
        <w:rPr>
          <w:rFonts w:ascii="仿宋_GB2312" w:eastAsia="仿宋_GB2312"/>
          <w:sz w:val="24"/>
        </w:rPr>
      </w:pPr>
    </w:p>
    <w:p w14:paraId="52E5EE2A">
      <w:pPr>
        <w:snapToGrid w:val="0"/>
        <w:rPr>
          <w:rFonts w:ascii="仿宋_GB2312" w:eastAsia="仿宋_GB2312"/>
          <w:sz w:val="24"/>
        </w:rPr>
      </w:pPr>
    </w:p>
    <w:p w14:paraId="01877D31">
      <w:pPr>
        <w:snapToGrid w:val="0"/>
        <w:rPr>
          <w:rFonts w:ascii="仿宋_GB2312" w:eastAsia="仿宋_GB2312"/>
          <w:sz w:val="24"/>
        </w:rPr>
      </w:pPr>
    </w:p>
    <w:p w14:paraId="0B7D17AE">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附表一：</w:t>
      </w:r>
    </w:p>
    <w:p w14:paraId="5CD4C72C">
      <w:pPr>
        <w:pStyle w:val="8"/>
        <w:numPr>
          <w:ilvl w:val="5"/>
          <w:numId w:val="0"/>
        </w:numPr>
        <w:tabs>
          <w:tab w:val="left" w:pos="425"/>
        </w:tabs>
        <w:snapToGrid w:val="0"/>
        <w:spacing w:before="156" w:line="360" w:lineRule="auto"/>
        <w:ind w:left="130"/>
        <w:jc w:val="center"/>
        <w:rPr>
          <w:rFonts w:ascii="仿宋_GB2312" w:hAnsi="宋体" w:eastAsia="仿宋_GB2312"/>
          <w:sz w:val="32"/>
          <w:szCs w:val="32"/>
        </w:rPr>
      </w:pPr>
      <w:r>
        <w:rPr>
          <w:rFonts w:hint="eastAsia" w:ascii="仿宋_GB2312" w:hAnsi="宋体" w:eastAsia="仿宋_GB2312"/>
          <w:sz w:val="32"/>
          <w:szCs w:val="32"/>
        </w:rPr>
        <w:t>开  标  一  览  表</w:t>
      </w:r>
    </w:p>
    <w:p w14:paraId="25A3B4C0">
      <w:pPr>
        <w:snapToGrid w:val="0"/>
        <w:spacing w:line="360" w:lineRule="auto"/>
        <w:rPr>
          <w:rFonts w:ascii="仿宋_GB2312" w:hAnsi="宋体" w:eastAsia="仿宋_GB2312"/>
          <w:sz w:val="24"/>
        </w:rPr>
      </w:pPr>
      <w:r>
        <w:rPr>
          <w:rFonts w:hint="eastAsia" w:ascii="仿宋_GB2312" w:hAnsi="宋体" w:eastAsia="仿宋_GB2312"/>
          <w:sz w:val="24"/>
        </w:rPr>
        <w:t>投标人名称（签章）：</w:t>
      </w:r>
    </w:p>
    <w:p w14:paraId="790A41BD">
      <w:pPr>
        <w:snapToGrid w:val="0"/>
        <w:spacing w:line="360" w:lineRule="auto"/>
        <w:rPr>
          <w:rFonts w:ascii="仿宋_GB2312" w:hAnsi="宋体" w:eastAsia="仿宋_GB2312"/>
          <w:sz w:val="24"/>
        </w:rPr>
      </w:pPr>
      <w:r>
        <w:rPr>
          <w:rFonts w:hint="eastAsia" w:ascii="仿宋_GB2312" w:hAnsi="宋体" w:eastAsia="仿宋_GB2312"/>
          <w:sz w:val="24"/>
        </w:rPr>
        <w:t>招标编号：</w:t>
      </w:r>
      <w:r>
        <w:rPr>
          <w:rFonts w:hint="eastAsia" w:ascii="仿宋_GB2312" w:hAnsi="宋体" w:eastAsia="仿宋_GB2312"/>
          <w:sz w:val="24"/>
          <w:u w:val="single"/>
        </w:rPr>
        <w:t xml:space="preserve">常天政采竞[2015]24号                  </w:t>
      </w:r>
    </w:p>
    <w:p w14:paraId="7123EDF7">
      <w:pPr>
        <w:snapToGrid w:val="0"/>
        <w:spacing w:line="360" w:lineRule="auto"/>
        <w:jc w:val="right"/>
        <w:rPr>
          <w:rFonts w:ascii="仿宋_GB2312" w:hAnsi="宋体" w:eastAsia="仿宋_GB2312"/>
          <w:sz w:val="24"/>
        </w:rPr>
      </w:pPr>
      <w:r>
        <w:rPr>
          <w:rFonts w:hint="eastAsia" w:ascii="仿宋_GB2312" w:hAnsi="宋体" w:eastAsia="仿宋_GB2312"/>
          <w:sz w:val="24"/>
        </w:rPr>
        <w:t>单位：人民币（元）</w:t>
      </w:r>
    </w:p>
    <w:tbl>
      <w:tblPr>
        <w:tblStyle w:val="27"/>
        <w:tblW w:w="7587"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824"/>
        <w:gridCol w:w="3763"/>
      </w:tblGrid>
      <w:tr w14:paraId="17C6D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824" w:type="dxa"/>
            <w:tcBorders>
              <w:top w:val="single" w:color="auto" w:sz="4" w:space="0"/>
              <w:left w:val="single" w:color="auto" w:sz="4" w:space="0"/>
              <w:bottom w:val="single" w:color="auto" w:sz="4" w:space="0"/>
              <w:right w:val="single" w:color="auto" w:sz="4" w:space="0"/>
            </w:tcBorders>
            <w:vAlign w:val="center"/>
          </w:tcPr>
          <w:p w14:paraId="115B5BE8">
            <w:pPr>
              <w:spacing w:line="360" w:lineRule="auto"/>
              <w:jc w:val="center"/>
              <w:rPr>
                <w:rFonts w:ascii="仿宋_GB2312" w:hAnsi="宋体" w:eastAsia="仿宋_GB2312"/>
                <w:sz w:val="24"/>
              </w:rPr>
            </w:pPr>
            <w:r>
              <w:rPr>
                <w:rFonts w:hint="eastAsia" w:ascii="仿宋_GB2312" w:hAnsi="宋体" w:eastAsia="仿宋_GB2312"/>
                <w:sz w:val="24"/>
              </w:rPr>
              <w:t>项目名称</w:t>
            </w:r>
          </w:p>
        </w:tc>
        <w:tc>
          <w:tcPr>
            <w:tcW w:w="3763" w:type="dxa"/>
            <w:tcBorders>
              <w:top w:val="single" w:color="auto" w:sz="4" w:space="0"/>
              <w:left w:val="single" w:color="auto" w:sz="4" w:space="0"/>
              <w:bottom w:val="single" w:color="auto" w:sz="4" w:space="0"/>
              <w:right w:val="single" w:color="auto" w:sz="4" w:space="0"/>
            </w:tcBorders>
          </w:tcPr>
          <w:p w14:paraId="6614EEF0">
            <w:pPr>
              <w:spacing w:line="360" w:lineRule="auto"/>
              <w:jc w:val="center"/>
              <w:rPr>
                <w:rFonts w:ascii="仿宋_GB2312" w:hAnsi="宋体" w:eastAsia="仿宋_GB2312"/>
                <w:sz w:val="24"/>
              </w:rPr>
            </w:pPr>
            <w:r>
              <w:rPr>
                <w:rFonts w:hint="eastAsia" w:ascii="仿宋_GB2312" w:hAnsi="宋体" w:eastAsia="仿宋_GB2312"/>
                <w:sz w:val="24"/>
              </w:rPr>
              <w:t>投标总价（元）</w:t>
            </w:r>
          </w:p>
        </w:tc>
      </w:tr>
      <w:tr w14:paraId="1911A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3824" w:type="dxa"/>
            <w:tcBorders>
              <w:top w:val="single" w:color="auto" w:sz="4" w:space="0"/>
              <w:left w:val="single" w:color="auto" w:sz="4" w:space="0"/>
              <w:bottom w:val="single" w:color="auto" w:sz="4" w:space="0"/>
              <w:right w:val="single" w:color="auto" w:sz="4" w:space="0"/>
            </w:tcBorders>
            <w:vAlign w:val="center"/>
          </w:tcPr>
          <w:p w14:paraId="2D32B39D">
            <w:pPr>
              <w:spacing w:line="360" w:lineRule="auto"/>
              <w:jc w:val="center"/>
              <w:rPr>
                <w:rFonts w:ascii="仿宋_GB2312" w:hAnsi="宋体" w:eastAsia="仿宋_GB2312"/>
                <w:sz w:val="24"/>
              </w:rPr>
            </w:pPr>
            <w:r>
              <w:rPr>
                <w:rFonts w:hint="eastAsia" w:ascii="仿宋_GB2312" w:hAnsi="宋体" w:eastAsia="仿宋_GB2312"/>
                <w:sz w:val="24"/>
              </w:rPr>
              <w:t>常州市天宁区财政一体化软件升级改造</w:t>
            </w:r>
            <w:r>
              <w:rPr>
                <w:rFonts w:hint="eastAsia" w:ascii="仿宋_GB2312" w:hAnsi="楷体" w:eastAsia="仿宋_GB2312"/>
                <w:bCs/>
                <w:sz w:val="24"/>
              </w:rPr>
              <w:t>项目</w:t>
            </w:r>
          </w:p>
        </w:tc>
        <w:tc>
          <w:tcPr>
            <w:tcW w:w="3763" w:type="dxa"/>
            <w:tcBorders>
              <w:top w:val="single" w:color="auto" w:sz="4" w:space="0"/>
              <w:left w:val="single" w:color="auto" w:sz="4" w:space="0"/>
              <w:bottom w:val="single" w:color="auto" w:sz="4" w:space="0"/>
              <w:right w:val="single" w:color="auto" w:sz="4" w:space="0"/>
            </w:tcBorders>
          </w:tcPr>
          <w:p w14:paraId="1D094ADE">
            <w:pPr>
              <w:spacing w:line="360" w:lineRule="auto"/>
              <w:jc w:val="center"/>
              <w:rPr>
                <w:rFonts w:ascii="仿宋_GB2312" w:hAnsi="宋体" w:eastAsia="仿宋_GB2312"/>
                <w:sz w:val="24"/>
              </w:rPr>
            </w:pPr>
          </w:p>
        </w:tc>
      </w:tr>
    </w:tbl>
    <w:p w14:paraId="39F099AF">
      <w:pPr>
        <w:snapToGrid w:val="0"/>
        <w:spacing w:line="360" w:lineRule="auto"/>
        <w:rPr>
          <w:rFonts w:ascii="仿宋_GB2312" w:hAnsi="宋体" w:eastAsia="仿宋_GB2312"/>
          <w:sz w:val="24"/>
        </w:rPr>
      </w:pPr>
    </w:p>
    <w:p w14:paraId="2787FDAC">
      <w:pPr>
        <w:snapToGrid w:val="0"/>
        <w:spacing w:line="360" w:lineRule="auto"/>
        <w:rPr>
          <w:rFonts w:ascii="仿宋_GB2312" w:hAnsi="宋体" w:eastAsia="仿宋_GB2312"/>
          <w:sz w:val="24"/>
        </w:rPr>
      </w:pPr>
      <w:r>
        <w:rPr>
          <w:rFonts w:hint="eastAsia" w:ascii="仿宋_GB2312" w:hAnsi="宋体" w:eastAsia="仿宋_GB2312"/>
          <w:sz w:val="24"/>
        </w:rPr>
        <w:t>项目建设工期：自   年   月   日至   年  月   日，共  日  历  天</w:t>
      </w:r>
    </w:p>
    <w:p w14:paraId="0E66B5AA">
      <w:pPr>
        <w:snapToGrid w:val="0"/>
        <w:spacing w:line="360" w:lineRule="auto"/>
        <w:rPr>
          <w:rFonts w:ascii="仿宋_GB2312" w:hAnsi="宋体" w:eastAsia="仿宋_GB2312"/>
          <w:sz w:val="24"/>
        </w:rPr>
      </w:pPr>
    </w:p>
    <w:p w14:paraId="0AC9DF7D">
      <w:pPr>
        <w:snapToGrid w:val="0"/>
        <w:spacing w:line="360" w:lineRule="auto"/>
        <w:rPr>
          <w:rFonts w:ascii="仿宋_GB2312" w:hAnsi="宋体" w:eastAsia="仿宋_GB2312"/>
          <w:sz w:val="24"/>
        </w:rPr>
      </w:pPr>
      <w:r>
        <w:rPr>
          <w:rFonts w:hint="eastAsia" w:ascii="仿宋_GB2312" w:hAnsi="宋体" w:eastAsia="仿宋_GB2312"/>
          <w:sz w:val="24"/>
        </w:rPr>
        <w:t>法人代表或授权人签字：</w:t>
      </w:r>
    </w:p>
    <w:p w14:paraId="156778E6">
      <w:pPr>
        <w:snapToGrid w:val="0"/>
        <w:spacing w:line="360" w:lineRule="auto"/>
        <w:rPr>
          <w:rFonts w:ascii="仿宋_GB2312" w:hAnsi="宋体" w:eastAsia="仿宋_GB2312"/>
          <w:sz w:val="24"/>
        </w:rPr>
      </w:pPr>
      <w:r>
        <w:rPr>
          <w:rFonts w:hint="eastAsia" w:ascii="仿宋_GB2312" w:hAnsi="宋体" w:eastAsia="仿宋_GB2312"/>
          <w:sz w:val="24"/>
        </w:rPr>
        <w:t xml:space="preserve">职务：        </w:t>
      </w:r>
    </w:p>
    <w:p w14:paraId="64261D7A">
      <w:pPr>
        <w:snapToGrid w:val="0"/>
        <w:spacing w:line="360" w:lineRule="auto"/>
        <w:rPr>
          <w:rFonts w:ascii="仿宋_GB2312" w:hAnsi="宋体" w:eastAsia="仿宋_GB2312"/>
          <w:sz w:val="24"/>
        </w:rPr>
      </w:pPr>
      <w:r>
        <w:rPr>
          <w:rFonts w:hint="eastAsia" w:ascii="仿宋_GB2312" w:hAnsi="宋体" w:eastAsia="仿宋_GB2312"/>
          <w:sz w:val="24"/>
        </w:rPr>
        <w:t>日期：</w:t>
      </w:r>
    </w:p>
    <w:p w14:paraId="5F9B9CDF">
      <w:pPr>
        <w:snapToGrid w:val="0"/>
        <w:spacing w:line="360" w:lineRule="auto"/>
        <w:rPr>
          <w:rFonts w:ascii="仿宋_GB2312" w:hAnsi="宋体" w:eastAsia="仿宋_GB2312"/>
          <w:sz w:val="24"/>
        </w:rPr>
      </w:pPr>
    </w:p>
    <w:p w14:paraId="2025FFF1">
      <w:pPr>
        <w:snapToGrid w:val="0"/>
        <w:spacing w:line="360" w:lineRule="auto"/>
        <w:rPr>
          <w:rFonts w:ascii="仿宋_GB2312" w:hAnsi="宋体" w:eastAsia="仿宋_GB2312" w:cs="宋体"/>
          <w:b/>
          <w:color w:val="FF0000"/>
          <w:sz w:val="24"/>
        </w:rPr>
      </w:pPr>
      <w:r>
        <w:rPr>
          <w:rFonts w:hint="eastAsia" w:ascii="仿宋_GB2312" w:hAnsi="宋体" w:eastAsia="仿宋_GB2312"/>
          <w:b/>
          <w:sz w:val="24"/>
        </w:rPr>
        <w:t>注：此表与投标书正本一并封装在同一封包内。</w:t>
      </w:r>
    </w:p>
    <w:p w14:paraId="0CCF1363">
      <w:pPr>
        <w:outlineLvl w:val="1"/>
        <w:rPr>
          <w:rFonts w:ascii="仿宋_GB2312" w:hAnsi="宋体" w:eastAsia="仿宋_GB2312" w:cs="宋体"/>
          <w:color w:val="FF0000"/>
          <w:sz w:val="24"/>
          <w:szCs w:val="28"/>
        </w:rPr>
      </w:pPr>
    </w:p>
    <w:p w14:paraId="48D04B5C">
      <w:pPr>
        <w:outlineLvl w:val="1"/>
        <w:rPr>
          <w:rFonts w:ascii="仿宋_GB2312" w:hAnsi="宋体" w:eastAsia="仿宋_GB2312" w:cs="宋体"/>
          <w:color w:val="FF0000"/>
          <w:sz w:val="24"/>
          <w:szCs w:val="28"/>
        </w:rPr>
      </w:pPr>
    </w:p>
    <w:p w14:paraId="36EDF8AA">
      <w:pPr>
        <w:snapToGrid w:val="0"/>
        <w:spacing w:line="360" w:lineRule="auto"/>
        <w:rPr>
          <w:rFonts w:ascii="仿宋_GB2312" w:hAnsi="宋体" w:eastAsia="仿宋_GB2312"/>
          <w:b/>
          <w:sz w:val="28"/>
          <w:szCs w:val="28"/>
        </w:rPr>
      </w:pPr>
    </w:p>
    <w:p w14:paraId="13C19B6F">
      <w:pPr>
        <w:snapToGrid w:val="0"/>
        <w:spacing w:line="360" w:lineRule="auto"/>
        <w:rPr>
          <w:rFonts w:ascii="仿宋_GB2312" w:hAnsi="宋体" w:eastAsia="仿宋_GB2312"/>
          <w:b/>
          <w:sz w:val="28"/>
          <w:szCs w:val="28"/>
        </w:rPr>
      </w:pPr>
    </w:p>
    <w:p w14:paraId="712F4F86">
      <w:pPr>
        <w:snapToGrid w:val="0"/>
        <w:spacing w:line="360" w:lineRule="auto"/>
        <w:rPr>
          <w:rFonts w:ascii="仿宋_GB2312" w:hAnsi="宋体" w:eastAsia="仿宋_GB2312"/>
          <w:b/>
          <w:sz w:val="28"/>
          <w:szCs w:val="28"/>
        </w:rPr>
      </w:pPr>
    </w:p>
    <w:p w14:paraId="11BC4CD9">
      <w:pPr>
        <w:snapToGrid w:val="0"/>
        <w:spacing w:line="360" w:lineRule="auto"/>
        <w:rPr>
          <w:rFonts w:ascii="仿宋_GB2312" w:hAnsi="宋体" w:eastAsia="仿宋_GB2312"/>
          <w:b/>
          <w:sz w:val="28"/>
          <w:szCs w:val="28"/>
        </w:rPr>
      </w:pPr>
    </w:p>
    <w:p w14:paraId="7318668F">
      <w:pPr>
        <w:snapToGrid w:val="0"/>
        <w:spacing w:line="360" w:lineRule="auto"/>
        <w:rPr>
          <w:rFonts w:ascii="仿宋_GB2312" w:hAnsi="宋体" w:eastAsia="仿宋_GB2312"/>
          <w:b/>
          <w:sz w:val="28"/>
          <w:szCs w:val="28"/>
        </w:rPr>
      </w:pPr>
    </w:p>
    <w:p w14:paraId="05B0A1ED">
      <w:pPr>
        <w:snapToGrid w:val="0"/>
        <w:spacing w:line="360" w:lineRule="auto"/>
        <w:rPr>
          <w:rFonts w:ascii="仿宋_GB2312" w:hAnsi="宋体" w:eastAsia="仿宋_GB2312"/>
          <w:b/>
          <w:sz w:val="28"/>
          <w:szCs w:val="28"/>
        </w:rPr>
      </w:pPr>
    </w:p>
    <w:p w14:paraId="3A9ADC95">
      <w:pPr>
        <w:snapToGrid w:val="0"/>
        <w:spacing w:line="360" w:lineRule="auto"/>
        <w:rPr>
          <w:rFonts w:ascii="仿宋_GB2312" w:hAnsi="宋体" w:eastAsia="仿宋_GB2312"/>
          <w:b/>
          <w:sz w:val="28"/>
          <w:szCs w:val="28"/>
        </w:rPr>
      </w:pPr>
    </w:p>
    <w:p w14:paraId="36FFACCE">
      <w:pPr>
        <w:snapToGrid w:val="0"/>
        <w:spacing w:line="360" w:lineRule="auto"/>
        <w:rPr>
          <w:rFonts w:ascii="仿宋_GB2312" w:hAnsi="宋体" w:eastAsia="仿宋_GB2312"/>
          <w:b/>
          <w:sz w:val="28"/>
          <w:szCs w:val="28"/>
        </w:rPr>
      </w:pPr>
    </w:p>
    <w:p w14:paraId="09120A66">
      <w:pPr>
        <w:snapToGrid w:val="0"/>
        <w:spacing w:line="360" w:lineRule="auto"/>
        <w:rPr>
          <w:rFonts w:ascii="仿宋_GB2312" w:hAnsi="宋体" w:eastAsia="仿宋_GB2312"/>
          <w:b/>
          <w:sz w:val="28"/>
          <w:szCs w:val="28"/>
        </w:rPr>
      </w:pPr>
    </w:p>
    <w:p w14:paraId="4709ED82">
      <w:pPr>
        <w:snapToGrid w:val="0"/>
        <w:spacing w:line="360" w:lineRule="auto"/>
        <w:rPr>
          <w:rFonts w:ascii="仿宋_GB2312" w:hAnsi="宋体" w:eastAsia="仿宋_GB2312"/>
          <w:b/>
          <w:sz w:val="28"/>
          <w:szCs w:val="28"/>
        </w:rPr>
      </w:pPr>
    </w:p>
    <w:p w14:paraId="4C5AB088">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附表二：</w:t>
      </w:r>
    </w:p>
    <w:p w14:paraId="5C7F3530">
      <w:pPr>
        <w:snapToGrid w:val="0"/>
        <w:spacing w:line="360" w:lineRule="auto"/>
        <w:jc w:val="center"/>
        <w:rPr>
          <w:rFonts w:ascii="仿宋_GB2312" w:hAnsi="宋体" w:eastAsia="仿宋_GB2312"/>
          <w:b/>
          <w:sz w:val="32"/>
          <w:szCs w:val="32"/>
        </w:rPr>
      </w:pPr>
      <w:r>
        <w:rPr>
          <w:rFonts w:hint="eastAsia" w:ascii="仿宋_GB2312" w:hAnsi="宋体" w:eastAsia="仿宋_GB2312"/>
          <w:b/>
          <w:sz w:val="32"/>
          <w:szCs w:val="32"/>
        </w:rPr>
        <w:t>分项报价表</w:t>
      </w:r>
    </w:p>
    <w:p w14:paraId="739AAD70">
      <w:pPr>
        <w:snapToGrid w:val="0"/>
        <w:spacing w:line="360" w:lineRule="auto"/>
        <w:rPr>
          <w:rFonts w:ascii="仿宋_GB2312" w:hAnsi="宋体" w:eastAsia="仿宋_GB2312"/>
          <w:b/>
          <w:sz w:val="32"/>
          <w:szCs w:val="32"/>
        </w:rPr>
      </w:pPr>
      <w:r>
        <w:rPr>
          <w:rFonts w:hint="eastAsia" w:ascii="仿宋_GB2312" w:hAnsi="宋体" w:eastAsia="仿宋_GB2312"/>
          <w:sz w:val="24"/>
        </w:rPr>
        <w:t>招标文件编号：___________</w:t>
      </w:r>
    </w:p>
    <w:tbl>
      <w:tblPr>
        <w:tblStyle w:val="27"/>
        <w:tblW w:w="95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630"/>
        <w:gridCol w:w="1570"/>
        <w:gridCol w:w="3773"/>
        <w:gridCol w:w="747"/>
        <w:gridCol w:w="1155"/>
        <w:gridCol w:w="840"/>
        <w:gridCol w:w="840"/>
      </w:tblGrid>
      <w:tr w14:paraId="57F9E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80" w:hRule="atLeast"/>
        </w:trPr>
        <w:tc>
          <w:tcPr>
            <w:tcW w:w="630" w:type="dxa"/>
            <w:vAlign w:val="center"/>
          </w:tcPr>
          <w:p w14:paraId="55B57FE3">
            <w:pPr>
              <w:spacing w:line="240" w:lineRule="atLeast"/>
              <w:jc w:val="center"/>
              <w:rPr>
                <w:rFonts w:ascii="仿宋_GB2312" w:eastAsia="仿宋_GB2312"/>
                <w:sz w:val="24"/>
              </w:rPr>
            </w:pPr>
            <w:r>
              <w:rPr>
                <w:rFonts w:hint="eastAsia" w:ascii="仿宋_GB2312" w:eastAsia="仿宋_GB2312"/>
                <w:sz w:val="24"/>
              </w:rPr>
              <w:t>序号</w:t>
            </w:r>
          </w:p>
        </w:tc>
        <w:tc>
          <w:tcPr>
            <w:tcW w:w="1570" w:type="dxa"/>
            <w:vAlign w:val="center"/>
          </w:tcPr>
          <w:p w14:paraId="596652FA">
            <w:pPr>
              <w:spacing w:line="240" w:lineRule="atLeast"/>
              <w:jc w:val="center"/>
              <w:rPr>
                <w:rFonts w:ascii="仿宋_GB2312" w:eastAsia="仿宋_GB2312"/>
                <w:sz w:val="24"/>
              </w:rPr>
            </w:pPr>
            <w:r>
              <w:rPr>
                <w:rFonts w:hint="eastAsia" w:ascii="仿宋_GB2312" w:eastAsia="仿宋_GB2312"/>
                <w:sz w:val="24"/>
              </w:rPr>
              <w:t>类别</w:t>
            </w:r>
          </w:p>
        </w:tc>
        <w:tc>
          <w:tcPr>
            <w:tcW w:w="3773" w:type="dxa"/>
            <w:vAlign w:val="center"/>
          </w:tcPr>
          <w:p w14:paraId="7DD333AD">
            <w:pPr>
              <w:spacing w:line="240" w:lineRule="atLeast"/>
              <w:jc w:val="center"/>
              <w:rPr>
                <w:rFonts w:ascii="仿宋_GB2312" w:eastAsia="仿宋_GB2312"/>
                <w:sz w:val="24"/>
              </w:rPr>
            </w:pPr>
            <w:r>
              <w:rPr>
                <w:rFonts w:hint="eastAsia" w:ascii="仿宋_GB2312" w:eastAsia="仿宋_GB2312"/>
                <w:sz w:val="24"/>
              </w:rPr>
              <w:t>名称</w:t>
            </w:r>
          </w:p>
        </w:tc>
        <w:tc>
          <w:tcPr>
            <w:tcW w:w="747" w:type="dxa"/>
            <w:vAlign w:val="center"/>
          </w:tcPr>
          <w:p w14:paraId="47578314">
            <w:pPr>
              <w:spacing w:line="240" w:lineRule="atLeast"/>
              <w:jc w:val="center"/>
              <w:rPr>
                <w:rFonts w:ascii="仿宋_GB2312" w:eastAsia="仿宋_GB2312"/>
                <w:sz w:val="24"/>
              </w:rPr>
            </w:pPr>
            <w:r>
              <w:rPr>
                <w:rFonts w:hint="eastAsia" w:ascii="仿宋_GB2312" w:eastAsia="仿宋_GB2312"/>
                <w:sz w:val="24"/>
              </w:rPr>
              <w:t>数量</w:t>
            </w:r>
          </w:p>
        </w:tc>
        <w:tc>
          <w:tcPr>
            <w:tcW w:w="1155" w:type="dxa"/>
            <w:vAlign w:val="center"/>
          </w:tcPr>
          <w:p w14:paraId="1E71C4CC">
            <w:pPr>
              <w:spacing w:line="240" w:lineRule="atLeast"/>
              <w:jc w:val="center"/>
              <w:rPr>
                <w:rFonts w:ascii="仿宋_GB2312" w:eastAsia="仿宋_GB2312"/>
                <w:sz w:val="24"/>
              </w:rPr>
            </w:pPr>
            <w:r>
              <w:rPr>
                <w:rFonts w:hint="eastAsia" w:ascii="仿宋_GB2312" w:eastAsia="仿宋_GB2312"/>
                <w:sz w:val="24"/>
              </w:rPr>
              <w:t>单位</w:t>
            </w:r>
          </w:p>
          <w:p w14:paraId="50FE58B2">
            <w:pPr>
              <w:spacing w:line="240" w:lineRule="atLeast"/>
              <w:jc w:val="center"/>
              <w:rPr>
                <w:rFonts w:ascii="仿宋_GB2312" w:eastAsia="仿宋_GB2312"/>
                <w:sz w:val="24"/>
              </w:rPr>
            </w:pPr>
          </w:p>
        </w:tc>
        <w:tc>
          <w:tcPr>
            <w:tcW w:w="840" w:type="dxa"/>
            <w:vAlign w:val="center"/>
          </w:tcPr>
          <w:p w14:paraId="65E92F54">
            <w:pPr>
              <w:spacing w:line="240" w:lineRule="atLeast"/>
              <w:jc w:val="center"/>
              <w:rPr>
                <w:rFonts w:ascii="仿宋_GB2312" w:eastAsia="仿宋_GB2312"/>
                <w:sz w:val="24"/>
              </w:rPr>
            </w:pPr>
            <w:r>
              <w:rPr>
                <w:rFonts w:hint="eastAsia" w:ascii="仿宋_GB2312" w:eastAsia="仿宋_GB2312"/>
                <w:sz w:val="24"/>
              </w:rPr>
              <w:t>单价</w:t>
            </w:r>
          </w:p>
        </w:tc>
        <w:tc>
          <w:tcPr>
            <w:tcW w:w="840" w:type="dxa"/>
            <w:vAlign w:val="center"/>
          </w:tcPr>
          <w:p w14:paraId="7867C52D">
            <w:pPr>
              <w:spacing w:line="240" w:lineRule="atLeast"/>
              <w:jc w:val="center"/>
              <w:rPr>
                <w:rFonts w:ascii="仿宋_GB2312" w:eastAsia="仿宋_GB2312"/>
                <w:sz w:val="24"/>
              </w:rPr>
            </w:pPr>
            <w:r>
              <w:rPr>
                <w:rFonts w:hint="eastAsia" w:ascii="仿宋_GB2312" w:eastAsia="仿宋_GB2312"/>
                <w:sz w:val="24"/>
              </w:rPr>
              <w:t>总价</w:t>
            </w:r>
          </w:p>
        </w:tc>
      </w:tr>
      <w:tr w14:paraId="0565E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Pr>
        <w:tc>
          <w:tcPr>
            <w:tcW w:w="630" w:type="dxa"/>
            <w:vMerge w:val="restart"/>
            <w:vAlign w:val="center"/>
          </w:tcPr>
          <w:p w14:paraId="502D25C3">
            <w:pPr>
              <w:spacing w:line="240" w:lineRule="atLeast"/>
              <w:jc w:val="center"/>
              <w:rPr>
                <w:rFonts w:ascii="仿宋_GB2312" w:hAnsi="宋体" w:eastAsia="仿宋_GB2312"/>
                <w:sz w:val="24"/>
              </w:rPr>
            </w:pPr>
            <w:r>
              <w:rPr>
                <w:rFonts w:hint="eastAsia" w:ascii="仿宋_GB2312" w:hAnsi="宋体" w:eastAsia="仿宋_GB2312"/>
                <w:sz w:val="24"/>
              </w:rPr>
              <w:t>1</w:t>
            </w:r>
          </w:p>
        </w:tc>
        <w:tc>
          <w:tcPr>
            <w:tcW w:w="1570" w:type="dxa"/>
            <w:vMerge w:val="restart"/>
            <w:vAlign w:val="center"/>
          </w:tcPr>
          <w:p w14:paraId="03CAB531">
            <w:pPr>
              <w:spacing w:line="240" w:lineRule="atLeast"/>
              <w:ind w:firstLine="360" w:firstLineChars="150"/>
              <w:rPr>
                <w:rFonts w:ascii="仿宋_GB2312" w:hAnsi="宋体" w:eastAsia="仿宋_GB2312"/>
                <w:sz w:val="24"/>
              </w:rPr>
            </w:pPr>
          </w:p>
        </w:tc>
        <w:tc>
          <w:tcPr>
            <w:tcW w:w="3773" w:type="dxa"/>
            <w:vAlign w:val="center"/>
          </w:tcPr>
          <w:p w14:paraId="0C86D29C">
            <w:pPr>
              <w:spacing w:line="240" w:lineRule="atLeast"/>
              <w:rPr>
                <w:rFonts w:ascii="仿宋_GB2312" w:hAnsi="宋体" w:eastAsia="仿宋_GB2312"/>
                <w:sz w:val="24"/>
              </w:rPr>
            </w:pPr>
          </w:p>
        </w:tc>
        <w:tc>
          <w:tcPr>
            <w:tcW w:w="747" w:type="dxa"/>
            <w:vAlign w:val="center"/>
          </w:tcPr>
          <w:p w14:paraId="4229CFE0">
            <w:pPr>
              <w:spacing w:line="240" w:lineRule="atLeast"/>
              <w:rPr>
                <w:rFonts w:ascii="仿宋_GB2312" w:eastAsia="仿宋_GB2312"/>
                <w:sz w:val="24"/>
              </w:rPr>
            </w:pPr>
          </w:p>
        </w:tc>
        <w:tc>
          <w:tcPr>
            <w:tcW w:w="1155" w:type="dxa"/>
            <w:vAlign w:val="center"/>
          </w:tcPr>
          <w:p w14:paraId="7235FEB4">
            <w:pPr>
              <w:spacing w:line="240" w:lineRule="atLeast"/>
              <w:rPr>
                <w:rFonts w:ascii="仿宋_GB2312" w:eastAsia="仿宋_GB2312"/>
                <w:sz w:val="24"/>
              </w:rPr>
            </w:pPr>
          </w:p>
        </w:tc>
        <w:tc>
          <w:tcPr>
            <w:tcW w:w="840" w:type="dxa"/>
            <w:vAlign w:val="center"/>
          </w:tcPr>
          <w:p w14:paraId="17314076">
            <w:pPr>
              <w:spacing w:line="240" w:lineRule="atLeast"/>
              <w:rPr>
                <w:rFonts w:ascii="仿宋_GB2312" w:eastAsia="仿宋_GB2312"/>
                <w:sz w:val="24"/>
              </w:rPr>
            </w:pPr>
          </w:p>
        </w:tc>
        <w:tc>
          <w:tcPr>
            <w:tcW w:w="840" w:type="dxa"/>
            <w:vAlign w:val="center"/>
          </w:tcPr>
          <w:p w14:paraId="57DF881C">
            <w:pPr>
              <w:spacing w:line="240" w:lineRule="atLeast"/>
              <w:rPr>
                <w:rFonts w:ascii="仿宋_GB2312" w:eastAsia="仿宋_GB2312"/>
                <w:sz w:val="24"/>
              </w:rPr>
            </w:pPr>
          </w:p>
        </w:tc>
      </w:tr>
      <w:tr w14:paraId="2074D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Pr>
        <w:tc>
          <w:tcPr>
            <w:tcW w:w="630" w:type="dxa"/>
            <w:vMerge w:val="continue"/>
            <w:vAlign w:val="center"/>
          </w:tcPr>
          <w:p w14:paraId="0F85FE1C">
            <w:pPr>
              <w:spacing w:line="240" w:lineRule="atLeast"/>
              <w:jc w:val="center"/>
              <w:rPr>
                <w:rFonts w:ascii="仿宋_GB2312" w:hAnsi="宋体" w:eastAsia="仿宋_GB2312"/>
                <w:sz w:val="24"/>
              </w:rPr>
            </w:pPr>
          </w:p>
        </w:tc>
        <w:tc>
          <w:tcPr>
            <w:tcW w:w="1570" w:type="dxa"/>
            <w:vMerge w:val="continue"/>
            <w:vAlign w:val="center"/>
          </w:tcPr>
          <w:p w14:paraId="2852EC15">
            <w:pPr>
              <w:spacing w:line="240" w:lineRule="atLeast"/>
              <w:rPr>
                <w:rFonts w:ascii="仿宋_GB2312" w:hAnsi="宋体" w:eastAsia="仿宋_GB2312"/>
                <w:sz w:val="24"/>
              </w:rPr>
            </w:pPr>
          </w:p>
        </w:tc>
        <w:tc>
          <w:tcPr>
            <w:tcW w:w="3773" w:type="dxa"/>
            <w:vAlign w:val="center"/>
          </w:tcPr>
          <w:p w14:paraId="40CB42FB">
            <w:pPr>
              <w:spacing w:line="240" w:lineRule="atLeast"/>
              <w:rPr>
                <w:rFonts w:ascii="仿宋_GB2312" w:hAnsi="宋体" w:eastAsia="仿宋_GB2312"/>
                <w:sz w:val="24"/>
              </w:rPr>
            </w:pPr>
          </w:p>
        </w:tc>
        <w:tc>
          <w:tcPr>
            <w:tcW w:w="747" w:type="dxa"/>
            <w:vAlign w:val="center"/>
          </w:tcPr>
          <w:p w14:paraId="70A2FCE7">
            <w:pPr>
              <w:spacing w:line="240" w:lineRule="atLeast"/>
              <w:rPr>
                <w:rFonts w:ascii="仿宋_GB2312" w:eastAsia="仿宋_GB2312"/>
                <w:sz w:val="24"/>
              </w:rPr>
            </w:pPr>
          </w:p>
        </w:tc>
        <w:tc>
          <w:tcPr>
            <w:tcW w:w="1155" w:type="dxa"/>
            <w:vAlign w:val="center"/>
          </w:tcPr>
          <w:p w14:paraId="3A83D046">
            <w:pPr>
              <w:spacing w:line="240" w:lineRule="atLeast"/>
              <w:rPr>
                <w:rFonts w:ascii="仿宋_GB2312" w:eastAsia="仿宋_GB2312"/>
                <w:sz w:val="24"/>
              </w:rPr>
            </w:pPr>
          </w:p>
        </w:tc>
        <w:tc>
          <w:tcPr>
            <w:tcW w:w="840" w:type="dxa"/>
            <w:vAlign w:val="center"/>
          </w:tcPr>
          <w:p w14:paraId="0D260010">
            <w:pPr>
              <w:spacing w:line="240" w:lineRule="atLeast"/>
              <w:rPr>
                <w:rFonts w:ascii="仿宋_GB2312" w:eastAsia="仿宋_GB2312"/>
                <w:sz w:val="24"/>
              </w:rPr>
            </w:pPr>
          </w:p>
        </w:tc>
        <w:tc>
          <w:tcPr>
            <w:tcW w:w="840" w:type="dxa"/>
            <w:vAlign w:val="center"/>
          </w:tcPr>
          <w:p w14:paraId="288C5363">
            <w:pPr>
              <w:spacing w:line="240" w:lineRule="atLeast"/>
              <w:rPr>
                <w:rFonts w:ascii="仿宋_GB2312" w:eastAsia="仿宋_GB2312"/>
                <w:sz w:val="24"/>
              </w:rPr>
            </w:pPr>
          </w:p>
        </w:tc>
      </w:tr>
      <w:tr w14:paraId="10220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Pr>
        <w:tc>
          <w:tcPr>
            <w:tcW w:w="630" w:type="dxa"/>
            <w:vMerge w:val="continue"/>
            <w:vAlign w:val="center"/>
          </w:tcPr>
          <w:p w14:paraId="7F676CC2">
            <w:pPr>
              <w:spacing w:line="240" w:lineRule="atLeast"/>
              <w:jc w:val="center"/>
              <w:rPr>
                <w:rFonts w:ascii="仿宋_GB2312" w:hAnsi="宋体" w:eastAsia="仿宋_GB2312"/>
                <w:sz w:val="24"/>
              </w:rPr>
            </w:pPr>
          </w:p>
        </w:tc>
        <w:tc>
          <w:tcPr>
            <w:tcW w:w="1570" w:type="dxa"/>
            <w:vMerge w:val="continue"/>
            <w:vAlign w:val="center"/>
          </w:tcPr>
          <w:p w14:paraId="3ECE6DA9">
            <w:pPr>
              <w:spacing w:line="240" w:lineRule="atLeast"/>
              <w:rPr>
                <w:rFonts w:ascii="仿宋_GB2312" w:hAnsi="宋体" w:eastAsia="仿宋_GB2312"/>
                <w:sz w:val="24"/>
              </w:rPr>
            </w:pPr>
          </w:p>
        </w:tc>
        <w:tc>
          <w:tcPr>
            <w:tcW w:w="3773" w:type="dxa"/>
          </w:tcPr>
          <w:p w14:paraId="40B8F8D7">
            <w:pPr>
              <w:spacing w:line="240" w:lineRule="atLeast"/>
              <w:rPr>
                <w:rFonts w:ascii="仿宋_GB2312" w:hAnsi="宋体" w:eastAsia="仿宋_GB2312"/>
                <w:sz w:val="24"/>
              </w:rPr>
            </w:pPr>
          </w:p>
        </w:tc>
        <w:tc>
          <w:tcPr>
            <w:tcW w:w="747" w:type="dxa"/>
            <w:vAlign w:val="center"/>
          </w:tcPr>
          <w:p w14:paraId="78A832BE">
            <w:pPr>
              <w:spacing w:line="240" w:lineRule="atLeast"/>
              <w:rPr>
                <w:rFonts w:ascii="仿宋_GB2312" w:eastAsia="仿宋_GB2312"/>
                <w:sz w:val="24"/>
              </w:rPr>
            </w:pPr>
          </w:p>
        </w:tc>
        <w:tc>
          <w:tcPr>
            <w:tcW w:w="1155" w:type="dxa"/>
            <w:vAlign w:val="center"/>
          </w:tcPr>
          <w:p w14:paraId="4A3414F9">
            <w:pPr>
              <w:spacing w:line="240" w:lineRule="atLeast"/>
              <w:rPr>
                <w:rFonts w:ascii="仿宋_GB2312" w:eastAsia="仿宋_GB2312"/>
                <w:sz w:val="24"/>
              </w:rPr>
            </w:pPr>
          </w:p>
        </w:tc>
        <w:tc>
          <w:tcPr>
            <w:tcW w:w="840" w:type="dxa"/>
            <w:vAlign w:val="center"/>
          </w:tcPr>
          <w:p w14:paraId="7BA55220">
            <w:pPr>
              <w:spacing w:line="240" w:lineRule="atLeast"/>
              <w:rPr>
                <w:rFonts w:ascii="仿宋_GB2312" w:eastAsia="仿宋_GB2312"/>
                <w:sz w:val="24"/>
              </w:rPr>
            </w:pPr>
          </w:p>
        </w:tc>
        <w:tc>
          <w:tcPr>
            <w:tcW w:w="840" w:type="dxa"/>
            <w:vAlign w:val="center"/>
          </w:tcPr>
          <w:p w14:paraId="35C33494">
            <w:pPr>
              <w:spacing w:line="240" w:lineRule="atLeast"/>
              <w:rPr>
                <w:rFonts w:ascii="仿宋_GB2312" w:eastAsia="仿宋_GB2312"/>
                <w:sz w:val="24"/>
              </w:rPr>
            </w:pPr>
          </w:p>
        </w:tc>
      </w:tr>
      <w:tr w14:paraId="12438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Pr>
        <w:tc>
          <w:tcPr>
            <w:tcW w:w="630" w:type="dxa"/>
            <w:vMerge w:val="continue"/>
            <w:vAlign w:val="center"/>
          </w:tcPr>
          <w:p w14:paraId="55719B36">
            <w:pPr>
              <w:spacing w:line="240" w:lineRule="atLeast"/>
              <w:jc w:val="center"/>
              <w:rPr>
                <w:rFonts w:ascii="仿宋_GB2312" w:hAnsi="宋体" w:eastAsia="仿宋_GB2312"/>
                <w:sz w:val="24"/>
              </w:rPr>
            </w:pPr>
          </w:p>
        </w:tc>
        <w:tc>
          <w:tcPr>
            <w:tcW w:w="1570" w:type="dxa"/>
            <w:vMerge w:val="continue"/>
            <w:vAlign w:val="center"/>
          </w:tcPr>
          <w:p w14:paraId="749740DC">
            <w:pPr>
              <w:spacing w:line="240" w:lineRule="atLeast"/>
              <w:rPr>
                <w:rFonts w:ascii="仿宋_GB2312" w:hAnsi="宋体" w:eastAsia="仿宋_GB2312"/>
                <w:sz w:val="24"/>
              </w:rPr>
            </w:pPr>
          </w:p>
        </w:tc>
        <w:tc>
          <w:tcPr>
            <w:tcW w:w="3773" w:type="dxa"/>
          </w:tcPr>
          <w:p w14:paraId="01D757A5">
            <w:pPr>
              <w:spacing w:line="240" w:lineRule="atLeast"/>
              <w:rPr>
                <w:rFonts w:ascii="仿宋_GB2312" w:hAnsi="宋体" w:eastAsia="仿宋_GB2312"/>
                <w:sz w:val="24"/>
              </w:rPr>
            </w:pPr>
          </w:p>
        </w:tc>
        <w:tc>
          <w:tcPr>
            <w:tcW w:w="747" w:type="dxa"/>
            <w:vAlign w:val="center"/>
          </w:tcPr>
          <w:p w14:paraId="0D955811">
            <w:pPr>
              <w:spacing w:line="240" w:lineRule="atLeast"/>
              <w:rPr>
                <w:rFonts w:ascii="仿宋_GB2312" w:eastAsia="仿宋_GB2312"/>
                <w:sz w:val="24"/>
              </w:rPr>
            </w:pPr>
          </w:p>
        </w:tc>
        <w:tc>
          <w:tcPr>
            <w:tcW w:w="1155" w:type="dxa"/>
            <w:vAlign w:val="center"/>
          </w:tcPr>
          <w:p w14:paraId="65C5F6E5">
            <w:pPr>
              <w:spacing w:line="240" w:lineRule="atLeast"/>
              <w:rPr>
                <w:rFonts w:ascii="仿宋_GB2312" w:eastAsia="仿宋_GB2312"/>
                <w:sz w:val="24"/>
              </w:rPr>
            </w:pPr>
          </w:p>
        </w:tc>
        <w:tc>
          <w:tcPr>
            <w:tcW w:w="840" w:type="dxa"/>
            <w:vAlign w:val="center"/>
          </w:tcPr>
          <w:p w14:paraId="3CF54F5D">
            <w:pPr>
              <w:spacing w:line="240" w:lineRule="atLeast"/>
              <w:rPr>
                <w:rFonts w:ascii="仿宋_GB2312" w:eastAsia="仿宋_GB2312"/>
                <w:sz w:val="24"/>
              </w:rPr>
            </w:pPr>
          </w:p>
        </w:tc>
        <w:tc>
          <w:tcPr>
            <w:tcW w:w="840" w:type="dxa"/>
            <w:vAlign w:val="center"/>
          </w:tcPr>
          <w:p w14:paraId="37BC3E6B">
            <w:pPr>
              <w:spacing w:line="240" w:lineRule="atLeast"/>
              <w:rPr>
                <w:rFonts w:ascii="仿宋_GB2312" w:eastAsia="仿宋_GB2312"/>
                <w:sz w:val="24"/>
              </w:rPr>
            </w:pPr>
          </w:p>
        </w:tc>
      </w:tr>
      <w:tr w14:paraId="366F7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Pr>
        <w:tc>
          <w:tcPr>
            <w:tcW w:w="630" w:type="dxa"/>
            <w:vMerge w:val="continue"/>
            <w:vAlign w:val="center"/>
          </w:tcPr>
          <w:p w14:paraId="1CFB9E71">
            <w:pPr>
              <w:spacing w:line="240" w:lineRule="atLeast"/>
              <w:jc w:val="center"/>
              <w:rPr>
                <w:rFonts w:ascii="仿宋_GB2312" w:hAnsi="宋体" w:eastAsia="仿宋_GB2312"/>
                <w:sz w:val="24"/>
              </w:rPr>
            </w:pPr>
          </w:p>
        </w:tc>
        <w:tc>
          <w:tcPr>
            <w:tcW w:w="1570" w:type="dxa"/>
            <w:vMerge w:val="continue"/>
            <w:vAlign w:val="center"/>
          </w:tcPr>
          <w:p w14:paraId="4AFC2700">
            <w:pPr>
              <w:spacing w:line="240" w:lineRule="atLeast"/>
              <w:rPr>
                <w:rFonts w:ascii="仿宋_GB2312" w:hAnsi="宋体" w:eastAsia="仿宋_GB2312"/>
                <w:sz w:val="24"/>
              </w:rPr>
            </w:pPr>
          </w:p>
        </w:tc>
        <w:tc>
          <w:tcPr>
            <w:tcW w:w="3773" w:type="dxa"/>
            <w:vAlign w:val="center"/>
          </w:tcPr>
          <w:p w14:paraId="6E035AF0">
            <w:pPr>
              <w:spacing w:line="240" w:lineRule="atLeast"/>
              <w:rPr>
                <w:rFonts w:ascii="仿宋_GB2312" w:hAnsi="宋体" w:eastAsia="仿宋_GB2312"/>
                <w:sz w:val="24"/>
              </w:rPr>
            </w:pPr>
          </w:p>
        </w:tc>
        <w:tc>
          <w:tcPr>
            <w:tcW w:w="747" w:type="dxa"/>
            <w:vAlign w:val="center"/>
          </w:tcPr>
          <w:p w14:paraId="72ABE5AD">
            <w:pPr>
              <w:spacing w:line="240" w:lineRule="atLeast"/>
              <w:rPr>
                <w:rFonts w:ascii="仿宋_GB2312" w:eastAsia="仿宋_GB2312"/>
                <w:sz w:val="24"/>
              </w:rPr>
            </w:pPr>
          </w:p>
        </w:tc>
        <w:tc>
          <w:tcPr>
            <w:tcW w:w="1155" w:type="dxa"/>
            <w:vAlign w:val="center"/>
          </w:tcPr>
          <w:p w14:paraId="0E68C644">
            <w:pPr>
              <w:spacing w:line="240" w:lineRule="atLeast"/>
              <w:rPr>
                <w:rFonts w:ascii="仿宋_GB2312" w:eastAsia="仿宋_GB2312"/>
                <w:sz w:val="24"/>
              </w:rPr>
            </w:pPr>
          </w:p>
        </w:tc>
        <w:tc>
          <w:tcPr>
            <w:tcW w:w="840" w:type="dxa"/>
            <w:vAlign w:val="center"/>
          </w:tcPr>
          <w:p w14:paraId="3D09BF93">
            <w:pPr>
              <w:spacing w:line="240" w:lineRule="atLeast"/>
              <w:rPr>
                <w:rFonts w:ascii="仿宋_GB2312" w:eastAsia="仿宋_GB2312"/>
                <w:sz w:val="24"/>
              </w:rPr>
            </w:pPr>
          </w:p>
        </w:tc>
        <w:tc>
          <w:tcPr>
            <w:tcW w:w="840" w:type="dxa"/>
            <w:vAlign w:val="center"/>
          </w:tcPr>
          <w:p w14:paraId="6671D0B0">
            <w:pPr>
              <w:spacing w:line="240" w:lineRule="atLeast"/>
              <w:rPr>
                <w:rFonts w:ascii="仿宋_GB2312" w:eastAsia="仿宋_GB2312"/>
                <w:sz w:val="24"/>
              </w:rPr>
            </w:pPr>
          </w:p>
        </w:tc>
      </w:tr>
      <w:tr w14:paraId="3EB4C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Pr>
        <w:tc>
          <w:tcPr>
            <w:tcW w:w="630" w:type="dxa"/>
            <w:vMerge w:val="continue"/>
            <w:vAlign w:val="center"/>
          </w:tcPr>
          <w:p w14:paraId="3A72FE9E">
            <w:pPr>
              <w:spacing w:line="240" w:lineRule="atLeast"/>
              <w:jc w:val="center"/>
              <w:rPr>
                <w:rFonts w:ascii="仿宋_GB2312" w:hAnsi="宋体" w:eastAsia="仿宋_GB2312"/>
                <w:sz w:val="24"/>
              </w:rPr>
            </w:pPr>
          </w:p>
        </w:tc>
        <w:tc>
          <w:tcPr>
            <w:tcW w:w="1570" w:type="dxa"/>
            <w:vMerge w:val="continue"/>
            <w:vAlign w:val="center"/>
          </w:tcPr>
          <w:p w14:paraId="28964152">
            <w:pPr>
              <w:spacing w:line="240" w:lineRule="atLeast"/>
              <w:rPr>
                <w:rFonts w:ascii="仿宋_GB2312" w:hAnsi="宋体" w:eastAsia="仿宋_GB2312"/>
                <w:sz w:val="24"/>
              </w:rPr>
            </w:pPr>
          </w:p>
        </w:tc>
        <w:tc>
          <w:tcPr>
            <w:tcW w:w="3773" w:type="dxa"/>
            <w:vAlign w:val="center"/>
          </w:tcPr>
          <w:p w14:paraId="1EDAF9E2">
            <w:pPr>
              <w:spacing w:line="240" w:lineRule="atLeast"/>
              <w:rPr>
                <w:rFonts w:ascii="仿宋_GB2312" w:hAnsi="宋体" w:eastAsia="仿宋_GB2312"/>
                <w:sz w:val="24"/>
              </w:rPr>
            </w:pPr>
          </w:p>
        </w:tc>
        <w:tc>
          <w:tcPr>
            <w:tcW w:w="747" w:type="dxa"/>
            <w:vAlign w:val="center"/>
          </w:tcPr>
          <w:p w14:paraId="7F7CAB0F">
            <w:pPr>
              <w:spacing w:line="240" w:lineRule="atLeast"/>
              <w:rPr>
                <w:rFonts w:ascii="仿宋_GB2312" w:eastAsia="仿宋_GB2312"/>
                <w:sz w:val="24"/>
              </w:rPr>
            </w:pPr>
          </w:p>
        </w:tc>
        <w:tc>
          <w:tcPr>
            <w:tcW w:w="1155" w:type="dxa"/>
            <w:vAlign w:val="center"/>
          </w:tcPr>
          <w:p w14:paraId="40F26E03">
            <w:pPr>
              <w:spacing w:line="240" w:lineRule="atLeast"/>
              <w:rPr>
                <w:rFonts w:ascii="仿宋_GB2312" w:eastAsia="仿宋_GB2312"/>
                <w:sz w:val="24"/>
              </w:rPr>
            </w:pPr>
          </w:p>
        </w:tc>
        <w:tc>
          <w:tcPr>
            <w:tcW w:w="840" w:type="dxa"/>
            <w:vAlign w:val="center"/>
          </w:tcPr>
          <w:p w14:paraId="711849F0">
            <w:pPr>
              <w:spacing w:line="240" w:lineRule="atLeast"/>
              <w:rPr>
                <w:rFonts w:ascii="仿宋_GB2312" w:eastAsia="仿宋_GB2312"/>
                <w:sz w:val="24"/>
              </w:rPr>
            </w:pPr>
          </w:p>
        </w:tc>
        <w:tc>
          <w:tcPr>
            <w:tcW w:w="840" w:type="dxa"/>
            <w:vAlign w:val="center"/>
          </w:tcPr>
          <w:p w14:paraId="606704D6">
            <w:pPr>
              <w:spacing w:line="240" w:lineRule="atLeast"/>
              <w:rPr>
                <w:rFonts w:ascii="仿宋_GB2312" w:eastAsia="仿宋_GB2312"/>
                <w:sz w:val="24"/>
              </w:rPr>
            </w:pPr>
          </w:p>
        </w:tc>
      </w:tr>
      <w:tr w14:paraId="2B7A8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0" w:hRule="atLeast"/>
        </w:trPr>
        <w:tc>
          <w:tcPr>
            <w:tcW w:w="630" w:type="dxa"/>
            <w:vMerge w:val="continue"/>
            <w:vAlign w:val="center"/>
          </w:tcPr>
          <w:p w14:paraId="0EFE7F84">
            <w:pPr>
              <w:spacing w:line="240" w:lineRule="atLeast"/>
              <w:jc w:val="center"/>
              <w:rPr>
                <w:rFonts w:ascii="仿宋_GB2312" w:hAnsi="宋体" w:eastAsia="仿宋_GB2312"/>
                <w:sz w:val="24"/>
              </w:rPr>
            </w:pPr>
          </w:p>
        </w:tc>
        <w:tc>
          <w:tcPr>
            <w:tcW w:w="1570" w:type="dxa"/>
            <w:vMerge w:val="continue"/>
            <w:vAlign w:val="center"/>
          </w:tcPr>
          <w:p w14:paraId="6B6212BF">
            <w:pPr>
              <w:spacing w:line="240" w:lineRule="atLeast"/>
              <w:rPr>
                <w:rFonts w:ascii="仿宋_GB2312" w:hAnsi="宋体" w:eastAsia="仿宋_GB2312"/>
                <w:sz w:val="24"/>
              </w:rPr>
            </w:pPr>
          </w:p>
        </w:tc>
        <w:tc>
          <w:tcPr>
            <w:tcW w:w="3773" w:type="dxa"/>
            <w:vAlign w:val="center"/>
          </w:tcPr>
          <w:p w14:paraId="33941064">
            <w:pPr>
              <w:spacing w:line="240" w:lineRule="atLeast"/>
              <w:rPr>
                <w:rFonts w:ascii="仿宋_GB2312" w:hAnsi="宋体" w:eastAsia="仿宋_GB2312"/>
                <w:sz w:val="24"/>
              </w:rPr>
            </w:pPr>
          </w:p>
        </w:tc>
        <w:tc>
          <w:tcPr>
            <w:tcW w:w="747" w:type="dxa"/>
            <w:vAlign w:val="center"/>
          </w:tcPr>
          <w:p w14:paraId="0B0A8A37">
            <w:pPr>
              <w:spacing w:line="240" w:lineRule="atLeast"/>
              <w:rPr>
                <w:rFonts w:ascii="仿宋_GB2312" w:hAnsi="宋体" w:eastAsia="仿宋_GB2312"/>
                <w:sz w:val="24"/>
              </w:rPr>
            </w:pPr>
          </w:p>
        </w:tc>
        <w:tc>
          <w:tcPr>
            <w:tcW w:w="1155" w:type="dxa"/>
            <w:vAlign w:val="center"/>
          </w:tcPr>
          <w:p w14:paraId="4E335484">
            <w:pPr>
              <w:spacing w:line="240" w:lineRule="atLeast"/>
              <w:rPr>
                <w:rFonts w:ascii="仿宋_GB2312" w:hAnsi="宋体" w:eastAsia="仿宋_GB2312"/>
                <w:sz w:val="24"/>
              </w:rPr>
            </w:pPr>
          </w:p>
        </w:tc>
        <w:tc>
          <w:tcPr>
            <w:tcW w:w="840" w:type="dxa"/>
            <w:vAlign w:val="center"/>
          </w:tcPr>
          <w:p w14:paraId="5FD7041B">
            <w:pPr>
              <w:spacing w:line="240" w:lineRule="atLeast"/>
              <w:jc w:val="center"/>
              <w:rPr>
                <w:rFonts w:ascii="仿宋_GB2312" w:hAnsi="宋体" w:eastAsia="仿宋_GB2312"/>
                <w:sz w:val="24"/>
              </w:rPr>
            </w:pPr>
          </w:p>
        </w:tc>
        <w:tc>
          <w:tcPr>
            <w:tcW w:w="840" w:type="dxa"/>
            <w:vAlign w:val="center"/>
          </w:tcPr>
          <w:p w14:paraId="260514C6">
            <w:pPr>
              <w:spacing w:line="240" w:lineRule="atLeast"/>
              <w:rPr>
                <w:rFonts w:ascii="仿宋_GB2312" w:eastAsia="仿宋_GB2312"/>
                <w:sz w:val="24"/>
              </w:rPr>
            </w:pPr>
          </w:p>
        </w:tc>
      </w:tr>
      <w:tr w14:paraId="0F442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Pr>
        <w:tc>
          <w:tcPr>
            <w:tcW w:w="630" w:type="dxa"/>
            <w:vMerge w:val="continue"/>
            <w:vAlign w:val="center"/>
          </w:tcPr>
          <w:p w14:paraId="3649BDA3">
            <w:pPr>
              <w:spacing w:line="240" w:lineRule="atLeast"/>
              <w:jc w:val="center"/>
              <w:rPr>
                <w:rFonts w:ascii="仿宋_GB2312" w:hAnsi="宋体" w:eastAsia="仿宋_GB2312"/>
                <w:sz w:val="24"/>
              </w:rPr>
            </w:pPr>
          </w:p>
        </w:tc>
        <w:tc>
          <w:tcPr>
            <w:tcW w:w="1570" w:type="dxa"/>
            <w:vMerge w:val="continue"/>
            <w:vAlign w:val="center"/>
          </w:tcPr>
          <w:p w14:paraId="76FEF868">
            <w:pPr>
              <w:spacing w:line="240" w:lineRule="atLeast"/>
              <w:rPr>
                <w:rFonts w:ascii="仿宋_GB2312" w:hAnsi="宋体" w:eastAsia="仿宋_GB2312"/>
                <w:sz w:val="24"/>
              </w:rPr>
            </w:pPr>
          </w:p>
        </w:tc>
        <w:tc>
          <w:tcPr>
            <w:tcW w:w="3773" w:type="dxa"/>
            <w:vAlign w:val="center"/>
          </w:tcPr>
          <w:p w14:paraId="6D0A72C9">
            <w:pPr>
              <w:spacing w:line="240" w:lineRule="atLeast"/>
              <w:rPr>
                <w:rFonts w:ascii="仿宋_GB2312" w:hAnsi="宋体" w:eastAsia="仿宋_GB2312"/>
                <w:sz w:val="24"/>
              </w:rPr>
            </w:pPr>
          </w:p>
        </w:tc>
        <w:tc>
          <w:tcPr>
            <w:tcW w:w="747" w:type="dxa"/>
            <w:vAlign w:val="center"/>
          </w:tcPr>
          <w:p w14:paraId="24729E9E">
            <w:pPr>
              <w:spacing w:line="240" w:lineRule="atLeast"/>
              <w:rPr>
                <w:rFonts w:ascii="仿宋_GB2312" w:eastAsia="仿宋_GB2312"/>
                <w:sz w:val="24"/>
              </w:rPr>
            </w:pPr>
          </w:p>
        </w:tc>
        <w:tc>
          <w:tcPr>
            <w:tcW w:w="1155" w:type="dxa"/>
            <w:vAlign w:val="center"/>
          </w:tcPr>
          <w:p w14:paraId="6ADAFECA">
            <w:pPr>
              <w:spacing w:line="240" w:lineRule="atLeast"/>
              <w:rPr>
                <w:rFonts w:ascii="仿宋_GB2312" w:eastAsia="仿宋_GB2312"/>
                <w:sz w:val="24"/>
              </w:rPr>
            </w:pPr>
          </w:p>
        </w:tc>
        <w:tc>
          <w:tcPr>
            <w:tcW w:w="840" w:type="dxa"/>
            <w:vAlign w:val="center"/>
          </w:tcPr>
          <w:p w14:paraId="2F3473B7">
            <w:pPr>
              <w:spacing w:line="240" w:lineRule="atLeast"/>
              <w:rPr>
                <w:rFonts w:ascii="仿宋_GB2312" w:eastAsia="仿宋_GB2312"/>
                <w:sz w:val="24"/>
              </w:rPr>
            </w:pPr>
          </w:p>
        </w:tc>
        <w:tc>
          <w:tcPr>
            <w:tcW w:w="840" w:type="dxa"/>
            <w:vAlign w:val="center"/>
          </w:tcPr>
          <w:p w14:paraId="483E2754">
            <w:pPr>
              <w:spacing w:line="240" w:lineRule="atLeast"/>
              <w:rPr>
                <w:rFonts w:ascii="仿宋_GB2312" w:eastAsia="仿宋_GB2312"/>
                <w:sz w:val="24"/>
              </w:rPr>
            </w:pPr>
          </w:p>
        </w:tc>
      </w:tr>
      <w:tr w14:paraId="46736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312" w:hRule="atLeast"/>
        </w:trPr>
        <w:tc>
          <w:tcPr>
            <w:tcW w:w="630" w:type="dxa"/>
            <w:vMerge w:val="continue"/>
            <w:vAlign w:val="center"/>
          </w:tcPr>
          <w:p w14:paraId="223E6BAF">
            <w:pPr>
              <w:spacing w:line="240" w:lineRule="atLeast"/>
              <w:jc w:val="center"/>
              <w:rPr>
                <w:rFonts w:ascii="仿宋_GB2312" w:hAnsi="宋体" w:eastAsia="仿宋_GB2312"/>
                <w:sz w:val="24"/>
              </w:rPr>
            </w:pPr>
          </w:p>
        </w:tc>
        <w:tc>
          <w:tcPr>
            <w:tcW w:w="1570" w:type="dxa"/>
            <w:vMerge w:val="continue"/>
            <w:vAlign w:val="center"/>
          </w:tcPr>
          <w:p w14:paraId="1E95B703">
            <w:pPr>
              <w:spacing w:line="240" w:lineRule="atLeast"/>
              <w:rPr>
                <w:rFonts w:ascii="仿宋_GB2312" w:hAnsi="宋体" w:eastAsia="仿宋_GB2312"/>
                <w:sz w:val="24"/>
              </w:rPr>
            </w:pPr>
          </w:p>
        </w:tc>
        <w:tc>
          <w:tcPr>
            <w:tcW w:w="3773" w:type="dxa"/>
            <w:vAlign w:val="center"/>
          </w:tcPr>
          <w:p w14:paraId="58860306">
            <w:pPr>
              <w:spacing w:line="240" w:lineRule="atLeast"/>
              <w:jc w:val="center"/>
              <w:rPr>
                <w:rFonts w:ascii="仿宋_GB2312" w:hAnsi="宋体" w:eastAsia="仿宋_GB2312"/>
                <w:sz w:val="24"/>
              </w:rPr>
            </w:pPr>
            <w:r>
              <w:rPr>
                <w:rFonts w:hint="eastAsia" w:ascii="仿宋_GB2312" w:eastAsia="仿宋_GB2312"/>
                <w:bCs/>
                <w:sz w:val="24"/>
              </w:rPr>
              <w:t>合  计</w:t>
            </w:r>
          </w:p>
        </w:tc>
        <w:tc>
          <w:tcPr>
            <w:tcW w:w="2742" w:type="dxa"/>
            <w:gridSpan w:val="3"/>
            <w:vAlign w:val="center"/>
          </w:tcPr>
          <w:p w14:paraId="1B4B8610">
            <w:pPr>
              <w:spacing w:line="240" w:lineRule="atLeast"/>
              <w:rPr>
                <w:rFonts w:ascii="仿宋_GB2312" w:eastAsia="仿宋_GB2312"/>
                <w:sz w:val="24"/>
              </w:rPr>
            </w:pPr>
          </w:p>
        </w:tc>
        <w:tc>
          <w:tcPr>
            <w:tcW w:w="840" w:type="dxa"/>
            <w:vAlign w:val="center"/>
          </w:tcPr>
          <w:p w14:paraId="16CE5925">
            <w:pPr>
              <w:spacing w:line="240" w:lineRule="atLeast"/>
              <w:rPr>
                <w:rFonts w:ascii="仿宋_GB2312" w:eastAsia="仿宋_GB2312"/>
                <w:sz w:val="24"/>
              </w:rPr>
            </w:pPr>
          </w:p>
        </w:tc>
      </w:tr>
      <w:tr w14:paraId="6E6C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Pr>
        <w:tc>
          <w:tcPr>
            <w:tcW w:w="630" w:type="dxa"/>
            <w:vAlign w:val="center"/>
          </w:tcPr>
          <w:p w14:paraId="4C03512E">
            <w:pPr>
              <w:spacing w:line="240" w:lineRule="atLeast"/>
              <w:jc w:val="center"/>
              <w:rPr>
                <w:rFonts w:ascii="仿宋_GB2312" w:hAnsi="宋体" w:eastAsia="仿宋_GB2312"/>
                <w:sz w:val="24"/>
              </w:rPr>
            </w:pPr>
          </w:p>
        </w:tc>
        <w:tc>
          <w:tcPr>
            <w:tcW w:w="5343" w:type="dxa"/>
            <w:gridSpan w:val="2"/>
            <w:vAlign w:val="center"/>
          </w:tcPr>
          <w:p w14:paraId="64A3DCC0">
            <w:pPr>
              <w:spacing w:line="240" w:lineRule="atLeast"/>
              <w:jc w:val="center"/>
              <w:rPr>
                <w:rFonts w:ascii="仿宋_GB2312" w:hAnsi="宋体" w:eastAsia="仿宋_GB2312"/>
                <w:bCs/>
                <w:sz w:val="24"/>
              </w:rPr>
            </w:pPr>
          </w:p>
        </w:tc>
        <w:tc>
          <w:tcPr>
            <w:tcW w:w="2742" w:type="dxa"/>
            <w:gridSpan w:val="3"/>
            <w:vAlign w:val="center"/>
          </w:tcPr>
          <w:p w14:paraId="484F11F4">
            <w:pPr>
              <w:spacing w:line="240" w:lineRule="atLeast"/>
              <w:rPr>
                <w:rFonts w:ascii="仿宋_GB2312" w:eastAsia="仿宋_GB2312"/>
                <w:sz w:val="24"/>
              </w:rPr>
            </w:pPr>
          </w:p>
        </w:tc>
        <w:tc>
          <w:tcPr>
            <w:tcW w:w="840" w:type="dxa"/>
            <w:vAlign w:val="center"/>
          </w:tcPr>
          <w:p w14:paraId="7F232F94">
            <w:pPr>
              <w:spacing w:line="240" w:lineRule="atLeast"/>
              <w:rPr>
                <w:rFonts w:ascii="仿宋_GB2312" w:eastAsia="仿宋_GB2312"/>
                <w:sz w:val="24"/>
              </w:rPr>
            </w:pPr>
          </w:p>
        </w:tc>
      </w:tr>
      <w:tr w14:paraId="5C1AC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Pr>
        <w:tc>
          <w:tcPr>
            <w:tcW w:w="630" w:type="dxa"/>
            <w:vAlign w:val="center"/>
          </w:tcPr>
          <w:p w14:paraId="2EE7B140">
            <w:pPr>
              <w:spacing w:line="240" w:lineRule="atLeast"/>
              <w:jc w:val="center"/>
              <w:rPr>
                <w:rFonts w:ascii="仿宋_GB2312" w:hAnsi="宋体" w:eastAsia="仿宋_GB2312"/>
                <w:sz w:val="24"/>
              </w:rPr>
            </w:pPr>
          </w:p>
        </w:tc>
        <w:tc>
          <w:tcPr>
            <w:tcW w:w="5343" w:type="dxa"/>
            <w:gridSpan w:val="2"/>
            <w:vAlign w:val="center"/>
          </w:tcPr>
          <w:p w14:paraId="5B94CE5F">
            <w:pPr>
              <w:spacing w:line="240" w:lineRule="atLeast"/>
              <w:jc w:val="center"/>
              <w:rPr>
                <w:rFonts w:ascii="仿宋_GB2312" w:hAnsi="宋体" w:eastAsia="仿宋_GB2312"/>
                <w:bCs/>
                <w:sz w:val="24"/>
              </w:rPr>
            </w:pPr>
          </w:p>
        </w:tc>
        <w:tc>
          <w:tcPr>
            <w:tcW w:w="2742" w:type="dxa"/>
            <w:gridSpan w:val="3"/>
            <w:vAlign w:val="center"/>
          </w:tcPr>
          <w:p w14:paraId="14D7DB9B">
            <w:pPr>
              <w:spacing w:line="240" w:lineRule="atLeast"/>
              <w:rPr>
                <w:rFonts w:ascii="仿宋_GB2312" w:eastAsia="仿宋_GB2312"/>
                <w:sz w:val="24"/>
              </w:rPr>
            </w:pPr>
          </w:p>
        </w:tc>
        <w:tc>
          <w:tcPr>
            <w:tcW w:w="840" w:type="dxa"/>
            <w:vAlign w:val="center"/>
          </w:tcPr>
          <w:p w14:paraId="53B77704">
            <w:pPr>
              <w:spacing w:line="240" w:lineRule="atLeast"/>
              <w:rPr>
                <w:rFonts w:ascii="仿宋_GB2312" w:eastAsia="仿宋_GB2312"/>
                <w:sz w:val="24"/>
              </w:rPr>
            </w:pPr>
          </w:p>
        </w:tc>
      </w:tr>
      <w:tr w14:paraId="4CAAD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Pr>
        <w:tc>
          <w:tcPr>
            <w:tcW w:w="630" w:type="dxa"/>
            <w:vAlign w:val="center"/>
          </w:tcPr>
          <w:p w14:paraId="07A184E8">
            <w:pPr>
              <w:spacing w:line="240" w:lineRule="atLeast"/>
              <w:jc w:val="center"/>
              <w:rPr>
                <w:rFonts w:ascii="仿宋_GB2312" w:hAnsi="宋体" w:eastAsia="仿宋_GB2312"/>
                <w:sz w:val="24"/>
              </w:rPr>
            </w:pPr>
          </w:p>
        </w:tc>
        <w:tc>
          <w:tcPr>
            <w:tcW w:w="5343" w:type="dxa"/>
            <w:gridSpan w:val="2"/>
            <w:vAlign w:val="center"/>
          </w:tcPr>
          <w:p w14:paraId="3BA20BD8">
            <w:pPr>
              <w:spacing w:line="240" w:lineRule="atLeast"/>
              <w:jc w:val="center"/>
              <w:rPr>
                <w:rFonts w:ascii="仿宋_GB2312" w:hAnsi="宋体" w:eastAsia="仿宋_GB2312"/>
                <w:bCs/>
                <w:sz w:val="24"/>
              </w:rPr>
            </w:pPr>
            <w:r>
              <w:rPr>
                <w:rFonts w:hint="eastAsia" w:ascii="仿宋_GB2312" w:hAnsi="宋体" w:eastAsia="仿宋_GB2312"/>
                <w:bCs/>
                <w:sz w:val="24"/>
              </w:rPr>
              <w:t>总  计</w:t>
            </w:r>
          </w:p>
        </w:tc>
        <w:tc>
          <w:tcPr>
            <w:tcW w:w="2742" w:type="dxa"/>
            <w:gridSpan w:val="3"/>
            <w:vAlign w:val="center"/>
          </w:tcPr>
          <w:p w14:paraId="1484A1CC">
            <w:pPr>
              <w:spacing w:line="240" w:lineRule="atLeast"/>
              <w:rPr>
                <w:rFonts w:ascii="仿宋_GB2312" w:eastAsia="仿宋_GB2312"/>
                <w:sz w:val="24"/>
              </w:rPr>
            </w:pPr>
          </w:p>
        </w:tc>
        <w:tc>
          <w:tcPr>
            <w:tcW w:w="840" w:type="dxa"/>
            <w:vAlign w:val="center"/>
          </w:tcPr>
          <w:p w14:paraId="168E640C">
            <w:pPr>
              <w:spacing w:line="240" w:lineRule="atLeast"/>
              <w:rPr>
                <w:rFonts w:ascii="仿宋_GB2312" w:eastAsia="仿宋_GB2312"/>
                <w:sz w:val="24"/>
              </w:rPr>
            </w:pPr>
          </w:p>
        </w:tc>
      </w:tr>
    </w:tbl>
    <w:p w14:paraId="49304BDA">
      <w:pPr>
        <w:pStyle w:val="18"/>
        <w:ind w:firstLine="480"/>
        <w:rPr>
          <w:rFonts w:ascii="仿宋_GB2312" w:eastAsia="仿宋_GB2312"/>
          <w:bCs/>
        </w:rPr>
      </w:pPr>
      <w:r>
        <w:rPr>
          <w:rFonts w:hint="eastAsia" w:ascii="仿宋_GB2312" w:eastAsia="仿宋_GB2312"/>
          <w:bCs/>
        </w:rPr>
        <w:t>投标人（盖章）：                授权代表（签字或盖章）：</w:t>
      </w:r>
    </w:p>
    <w:p w14:paraId="65FDEDAF">
      <w:pPr>
        <w:snapToGrid w:val="0"/>
        <w:spacing w:line="360" w:lineRule="auto"/>
        <w:rPr>
          <w:rFonts w:ascii="仿宋_GB2312" w:eastAsia="仿宋_GB2312"/>
        </w:rPr>
      </w:pPr>
    </w:p>
    <w:p w14:paraId="5DB99563">
      <w:pPr>
        <w:snapToGrid w:val="0"/>
        <w:spacing w:line="360" w:lineRule="auto"/>
        <w:rPr>
          <w:rFonts w:ascii="仿宋_GB2312" w:hAnsi="宋体" w:eastAsia="仿宋_GB2312"/>
        </w:rPr>
      </w:pPr>
      <w:r>
        <w:rPr>
          <w:rFonts w:hint="eastAsia" w:ascii="仿宋_GB2312" w:eastAsia="仿宋_GB2312"/>
        </w:rPr>
        <w:t>注：以上表格中各项可进一步细分，栏数不够可自加，要求按照附件六项目需求的要求按人月数、单价等详细报价。</w:t>
      </w:r>
      <w:r>
        <w:rPr>
          <w:rFonts w:hint="eastAsia" w:ascii="仿宋_GB2312" w:hAnsi="宋体" w:eastAsia="仿宋_GB2312"/>
        </w:rPr>
        <w:t> </w:t>
      </w:r>
    </w:p>
    <w:p w14:paraId="17DC4EA4">
      <w:pPr>
        <w:snapToGrid w:val="0"/>
        <w:spacing w:line="360" w:lineRule="auto"/>
        <w:rPr>
          <w:rFonts w:ascii="仿宋_GB2312" w:hAnsi="宋体" w:eastAsia="仿宋_GB2312"/>
          <w:b/>
          <w:sz w:val="28"/>
          <w:szCs w:val="28"/>
        </w:rPr>
      </w:pPr>
    </w:p>
    <w:p w14:paraId="627B8191">
      <w:pPr>
        <w:snapToGrid w:val="0"/>
        <w:spacing w:line="360" w:lineRule="auto"/>
        <w:rPr>
          <w:rFonts w:ascii="仿宋_GB2312" w:hAnsi="宋体" w:eastAsia="仿宋_GB2312"/>
          <w:b/>
          <w:sz w:val="28"/>
          <w:szCs w:val="28"/>
        </w:rPr>
      </w:pPr>
    </w:p>
    <w:p w14:paraId="3AC669FC">
      <w:pPr>
        <w:snapToGrid w:val="0"/>
        <w:spacing w:line="360" w:lineRule="auto"/>
        <w:rPr>
          <w:rFonts w:ascii="仿宋_GB2312" w:hAnsi="宋体" w:eastAsia="仿宋_GB2312"/>
          <w:b/>
          <w:sz w:val="28"/>
          <w:szCs w:val="28"/>
        </w:rPr>
      </w:pPr>
    </w:p>
    <w:p w14:paraId="6AE0306C">
      <w:pPr>
        <w:snapToGrid w:val="0"/>
        <w:spacing w:line="360" w:lineRule="auto"/>
        <w:rPr>
          <w:rFonts w:ascii="仿宋_GB2312" w:hAnsi="宋体" w:eastAsia="仿宋_GB2312"/>
          <w:b/>
          <w:sz w:val="28"/>
          <w:szCs w:val="28"/>
        </w:rPr>
      </w:pPr>
    </w:p>
    <w:p w14:paraId="504D8EB3">
      <w:pPr>
        <w:snapToGrid w:val="0"/>
        <w:spacing w:line="360" w:lineRule="auto"/>
        <w:rPr>
          <w:rFonts w:ascii="仿宋_GB2312" w:hAnsi="宋体" w:eastAsia="仿宋_GB2312"/>
          <w:b/>
          <w:sz w:val="28"/>
          <w:szCs w:val="28"/>
        </w:rPr>
      </w:pPr>
    </w:p>
    <w:p w14:paraId="3227901A">
      <w:pPr>
        <w:snapToGrid w:val="0"/>
        <w:spacing w:line="360" w:lineRule="auto"/>
        <w:rPr>
          <w:rFonts w:ascii="仿宋_GB2312" w:hAnsi="宋体" w:eastAsia="仿宋_GB2312"/>
          <w:b/>
          <w:sz w:val="28"/>
          <w:szCs w:val="28"/>
        </w:rPr>
      </w:pPr>
    </w:p>
    <w:p w14:paraId="477E1510">
      <w:pPr>
        <w:snapToGrid w:val="0"/>
        <w:spacing w:line="360" w:lineRule="auto"/>
        <w:rPr>
          <w:rFonts w:ascii="仿宋_GB2312" w:hAnsi="宋体" w:eastAsia="仿宋_GB2312"/>
          <w:b/>
          <w:sz w:val="28"/>
          <w:szCs w:val="28"/>
        </w:rPr>
      </w:pPr>
    </w:p>
    <w:p w14:paraId="50D1E8FE">
      <w:pPr>
        <w:snapToGrid w:val="0"/>
        <w:spacing w:line="360" w:lineRule="auto"/>
        <w:rPr>
          <w:rFonts w:ascii="仿宋_GB2312" w:hAnsi="宋体" w:eastAsia="仿宋_GB2312"/>
          <w:b/>
          <w:sz w:val="28"/>
          <w:szCs w:val="28"/>
        </w:rPr>
      </w:pPr>
    </w:p>
    <w:p w14:paraId="1D37EA20">
      <w:pPr>
        <w:snapToGrid w:val="0"/>
        <w:spacing w:line="360" w:lineRule="auto"/>
        <w:rPr>
          <w:rFonts w:ascii="仿宋_GB2312" w:hAnsi="宋体" w:eastAsia="仿宋_GB2312"/>
          <w:b/>
          <w:sz w:val="28"/>
          <w:szCs w:val="28"/>
        </w:rPr>
      </w:pPr>
    </w:p>
    <w:p w14:paraId="024A3E3D">
      <w:pPr>
        <w:snapToGrid w:val="0"/>
        <w:spacing w:line="360" w:lineRule="auto"/>
        <w:rPr>
          <w:rFonts w:ascii="仿宋_GB2312" w:hAnsi="宋体" w:eastAsia="仿宋_GB2312"/>
          <w:b/>
          <w:sz w:val="28"/>
          <w:szCs w:val="28"/>
        </w:rPr>
      </w:pPr>
    </w:p>
    <w:p w14:paraId="0CA5E9F8">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附表三：</w:t>
      </w:r>
    </w:p>
    <w:p w14:paraId="580A3A73">
      <w:pPr>
        <w:pStyle w:val="5"/>
        <w:numPr>
          <w:ilvl w:val="0"/>
          <w:numId w:val="0"/>
        </w:numPr>
        <w:tabs>
          <w:tab w:val="left" w:pos="425"/>
        </w:tabs>
        <w:snapToGrid w:val="0"/>
        <w:spacing w:before="156"/>
        <w:jc w:val="center"/>
        <w:rPr>
          <w:rFonts w:ascii="仿宋_GB2312" w:eastAsia="仿宋_GB2312"/>
          <w:b/>
          <w:sz w:val="32"/>
          <w:szCs w:val="32"/>
        </w:rPr>
      </w:pPr>
      <w:r>
        <w:rPr>
          <w:rFonts w:hint="eastAsia" w:ascii="仿宋_GB2312" w:eastAsia="仿宋_GB2312"/>
          <w:b/>
          <w:sz w:val="32"/>
          <w:szCs w:val="32"/>
        </w:rPr>
        <w:t>投标人拟参加本项目的技术人员名单</w:t>
      </w:r>
    </w:p>
    <w:p w14:paraId="363353C2">
      <w:pPr>
        <w:pStyle w:val="4"/>
        <w:snapToGrid w:val="0"/>
        <w:spacing w:before="156"/>
        <w:ind w:left="420" w:firstLine="480"/>
        <w:rPr>
          <w:rFonts w:ascii="仿宋_GB2312" w:eastAsia="仿宋_GB2312"/>
        </w:rPr>
      </w:pPr>
      <w:r>
        <w:rPr>
          <w:rFonts w:hint="eastAsia" w:ascii="仿宋_GB2312" w:eastAsia="仿宋_GB2312"/>
        </w:rPr>
        <w:t> </w:t>
      </w:r>
    </w:p>
    <w:p w14:paraId="2D0C857F">
      <w:pPr>
        <w:tabs>
          <w:tab w:val="left" w:pos="9765"/>
        </w:tabs>
        <w:snapToGrid w:val="0"/>
        <w:spacing w:line="360" w:lineRule="auto"/>
        <w:jc w:val="center"/>
        <w:rPr>
          <w:rFonts w:ascii="仿宋_GB2312" w:hAnsi="宋体" w:eastAsia="仿宋_GB2312"/>
          <w:b/>
          <w:sz w:val="28"/>
          <w:szCs w:val="28"/>
        </w:rPr>
      </w:pPr>
      <w:r>
        <w:rPr>
          <w:rFonts w:hint="eastAsia" w:ascii="仿宋_GB2312" w:hAnsi="宋体" w:eastAsia="仿宋_GB2312"/>
          <w:b/>
          <w:sz w:val="28"/>
          <w:szCs w:val="28"/>
        </w:rPr>
        <w:t>项目管理人员名单</w:t>
      </w:r>
    </w:p>
    <w:tbl>
      <w:tblPr>
        <w:tblStyle w:val="27"/>
        <w:tblW w:w="932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0"/>
        <w:gridCol w:w="735"/>
        <w:gridCol w:w="735"/>
        <w:gridCol w:w="735"/>
        <w:gridCol w:w="1155"/>
        <w:gridCol w:w="735"/>
        <w:gridCol w:w="840"/>
        <w:gridCol w:w="1260"/>
        <w:gridCol w:w="945"/>
        <w:gridCol w:w="1551"/>
      </w:tblGrid>
      <w:tr w14:paraId="4D0C2D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vAlign w:val="center"/>
          </w:tcPr>
          <w:p w14:paraId="23A50C16">
            <w:pPr>
              <w:tabs>
                <w:tab w:val="left" w:pos="9765"/>
              </w:tabs>
              <w:spacing w:line="360" w:lineRule="auto"/>
              <w:jc w:val="center"/>
              <w:rPr>
                <w:rFonts w:ascii="仿宋_GB2312" w:hAnsi="宋体" w:eastAsia="仿宋_GB2312"/>
                <w:szCs w:val="20"/>
              </w:rPr>
            </w:pPr>
            <w:r>
              <w:rPr>
                <w:rFonts w:hint="eastAsia" w:ascii="仿宋_GB2312" w:hAnsi="宋体" w:eastAsia="仿宋_GB2312"/>
              </w:rPr>
              <w:t>序号</w:t>
            </w:r>
          </w:p>
        </w:tc>
        <w:tc>
          <w:tcPr>
            <w:tcW w:w="735" w:type="dxa"/>
            <w:tcBorders>
              <w:top w:val="single" w:color="auto" w:sz="4" w:space="0"/>
              <w:left w:val="single" w:color="auto" w:sz="4" w:space="0"/>
              <w:bottom w:val="single" w:color="auto" w:sz="4" w:space="0"/>
              <w:right w:val="single" w:color="auto" w:sz="4" w:space="0"/>
            </w:tcBorders>
            <w:vAlign w:val="center"/>
          </w:tcPr>
          <w:p w14:paraId="4EF1DB77">
            <w:pPr>
              <w:tabs>
                <w:tab w:val="left" w:pos="9765"/>
              </w:tabs>
              <w:spacing w:line="360" w:lineRule="auto"/>
              <w:jc w:val="center"/>
              <w:rPr>
                <w:rFonts w:ascii="仿宋_GB2312" w:hAnsi="宋体" w:eastAsia="仿宋_GB2312"/>
                <w:szCs w:val="20"/>
              </w:rPr>
            </w:pPr>
            <w:r>
              <w:rPr>
                <w:rFonts w:hint="eastAsia" w:ascii="仿宋_GB2312" w:hAnsi="宋体" w:eastAsia="仿宋_GB2312"/>
              </w:rPr>
              <w:t>姓名</w:t>
            </w:r>
          </w:p>
        </w:tc>
        <w:tc>
          <w:tcPr>
            <w:tcW w:w="735" w:type="dxa"/>
            <w:tcBorders>
              <w:top w:val="single" w:color="auto" w:sz="4" w:space="0"/>
              <w:left w:val="single" w:color="auto" w:sz="4" w:space="0"/>
              <w:bottom w:val="single" w:color="auto" w:sz="4" w:space="0"/>
              <w:right w:val="single" w:color="auto" w:sz="4" w:space="0"/>
            </w:tcBorders>
            <w:vAlign w:val="center"/>
          </w:tcPr>
          <w:p w14:paraId="198EF24D">
            <w:pPr>
              <w:tabs>
                <w:tab w:val="left" w:pos="9765"/>
              </w:tabs>
              <w:spacing w:line="360" w:lineRule="auto"/>
              <w:jc w:val="center"/>
              <w:rPr>
                <w:rFonts w:ascii="仿宋_GB2312" w:hAnsi="宋体" w:eastAsia="仿宋_GB2312"/>
                <w:szCs w:val="20"/>
              </w:rPr>
            </w:pPr>
            <w:r>
              <w:rPr>
                <w:rFonts w:hint="eastAsia" w:ascii="仿宋_GB2312" w:hAnsi="宋体" w:eastAsia="仿宋_GB2312"/>
              </w:rPr>
              <w:t>性别</w:t>
            </w:r>
          </w:p>
        </w:tc>
        <w:tc>
          <w:tcPr>
            <w:tcW w:w="735" w:type="dxa"/>
            <w:tcBorders>
              <w:top w:val="single" w:color="auto" w:sz="4" w:space="0"/>
              <w:left w:val="single" w:color="auto" w:sz="4" w:space="0"/>
              <w:bottom w:val="single" w:color="auto" w:sz="4" w:space="0"/>
              <w:right w:val="single" w:color="auto" w:sz="4" w:space="0"/>
            </w:tcBorders>
            <w:vAlign w:val="center"/>
          </w:tcPr>
          <w:p w14:paraId="0BCCACE3">
            <w:pPr>
              <w:tabs>
                <w:tab w:val="left" w:pos="9765"/>
              </w:tabs>
              <w:spacing w:line="360" w:lineRule="auto"/>
              <w:jc w:val="center"/>
              <w:rPr>
                <w:rFonts w:ascii="仿宋_GB2312" w:hAnsi="宋体" w:eastAsia="仿宋_GB2312"/>
                <w:szCs w:val="20"/>
              </w:rPr>
            </w:pPr>
            <w:r>
              <w:rPr>
                <w:rFonts w:hint="eastAsia" w:ascii="仿宋_GB2312" w:hAnsi="宋体" w:eastAsia="仿宋_GB2312"/>
              </w:rPr>
              <w:t>年龄</w:t>
            </w:r>
          </w:p>
        </w:tc>
        <w:tc>
          <w:tcPr>
            <w:tcW w:w="1155" w:type="dxa"/>
            <w:tcBorders>
              <w:top w:val="single" w:color="auto" w:sz="4" w:space="0"/>
              <w:left w:val="single" w:color="auto" w:sz="4" w:space="0"/>
              <w:bottom w:val="single" w:color="auto" w:sz="4" w:space="0"/>
              <w:right w:val="single" w:color="auto" w:sz="4" w:space="0"/>
            </w:tcBorders>
            <w:vAlign w:val="center"/>
          </w:tcPr>
          <w:p w14:paraId="21F134F7">
            <w:pPr>
              <w:tabs>
                <w:tab w:val="left" w:pos="9765"/>
              </w:tabs>
              <w:spacing w:line="360" w:lineRule="auto"/>
              <w:jc w:val="center"/>
              <w:rPr>
                <w:rFonts w:ascii="仿宋_GB2312" w:hAnsi="宋体" w:eastAsia="仿宋_GB2312"/>
                <w:szCs w:val="20"/>
              </w:rPr>
            </w:pPr>
            <w:r>
              <w:rPr>
                <w:rFonts w:hint="eastAsia" w:ascii="仿宋_GB2312" w:hAnsi="宋体" w:eastAsia="仿宋_GB2312"/>
              </w:rPr>
              <w:t>毕业学校和学历</w:t>
            </w:r>
          </w:p>
        </w:tc>
        <w:tc>
          <w:tcPr>
            <w:tcW w:w="735" w:type="dxa"/>
            <w:tcBorders>
              <w:top w:val="single" w:color="auto" w:sz="4" w:space="0"/>
              <w:left w:val="single" w:color="auto" w:sz="4" w:space="0"/>
              <w:bottom w:val="single" w:color="auto" w:sz="4" w:space="0"/>
              <w:right w:val="single" w:color="auto" w:sz="4" w:space="0"/>
            </w:tcBorders>
            <w:vAlign w:val="center"/>
          </w:tcPr>
          <w:p w14:paraId="168C5A71">
            <w:pPr>
              <w:tabs>
                <w:tab w:val="left" w:pos="9765"/>
              </w:tabs>
              <w:spacing w:line="360" w:lineRule="auto"/>
              <w:jc w:val="center"/>
              <w:rPr>
                <w:rFonts w:ascii="仿宋_GB2312" w:hAnsi="宋体" w:eastAsia="仿宋_GB2312"/>
                <w:szCs w:val="20"/>
              </w:rPr>
            </w:pPr>
            <w:r>
              <w:rPr>
                <w:rFonts w:hint="eastAsia" w:ascii="仿宋_GB2312" w:hAnsi="宋体" w:eastAsia="仿宋_GB2312"/>
              </w:rPr>
              <w:t>专业</w:t>
            </w:r>
          </w:p>
        </w:tc>
        <w:tc>
          <w:tcPr>
            <w:tcW w:w="840" w:type="dxa"/>
            <w:tcBorders>
              <w:top w:val="single" w:color="auto" w:sz="4" w:space="0"/>
              <w:left w:val="single" w:color="auto" w:sz="4" w:space="0"/>
              <w:bottom w:val="single" w:color="auto" w:sz="4" w:space="0"/>
              <w:right w:val="single" w:color="auto" w:sz="4" w:space="0"/>
            </w:tcBorders>
            <w:vAlign w:val="center"/>
          </w:tcPr>
          <w:p w14:paraId="16FD8349">
            <w:pPr>
              <w:tabs>
                <w:tab w:val="left" w:pos="9765"/>
              </w:tabs>
              <w:spacing w:line="360" w:lineRule="auto"/>
              <w:jc w:val="center"/>
              <w:rPr>
                <w:rFonts w:ascii="仿宋_GB2312" w:hAnsi="宋体" w:eastAsia="仿宋_GB2312"/>
                <w:szCs w:val="20"/>
              </w:rPr>
            </w:pPr>
            <w:r>
              <w:rPr>
                <w:rFonts w:hint="eastAsia" w:ascii="仿宋_GB2312" w:hAnsi="宋体" w:eastAsia="仿宋_GB2312"/>
              </w:rPr>
              <w:t>职称</w:t>
            </w:r>
          </w:p>
        </w:tc>
        <w:tc>
          <w:tcPr>
            <w:tcW w:w="1260" w:type="dxa"/>
            <w:tcBorders>
              <w:top w:val="single" w:color="auto" w:sz="4" w:space="0"/>
              <w:left w:val="single" w:color="auto" w:sz="4" w:space="0"/>
              <w:bottom w:val="single" w:color="auto" w:sz="4" w:space="0"/>
              <w:right w:val="single" w:color="auto" w:sz="4" w:space="0"/>
            </w:tcBorders>
            <w:vAlign w:val="center"/>
          </w:tcPr>
          <w:p w14:paraId="70CF9645">
            <w:pPr>
              <w:tabs>
                <w:tab w:val="left" w:pos="9765"/>
              </w:tabs>
              <w:spacing w:line="360" w:lineRule="auto"/>
              <w:jc w:val="center"/>
              <w:rPr>
                <w:rFonts w:ascii="仿宋_GB2312" w:hAnsi="宋体" w:eastAsia="仿宋_GB2312"/>
                <w:szCs w:val="20"/>
              </w:rPr>
            </w:pPr>
            <w:r>
              <w:rPr>
                <w:rFonts w:hint="eastAsia" w:ascii="仿宋_GB2312" w:hAnsi="宋体" w:eastAsia="仿宋_GB2312"/>
              </w:rPr>
              <w:t>专业培训及证书</w:t>
            </w:r>
          </w:p>
        </w:tc>
        <w:tc>
          <w:tcPr>
            <w:tcW w:w="945" w:type="dxa"/>
            <w:tcBorders>
              <w:top w:val="single" w:color="auto" w:sz="4" w:space="0"/>
              <w:left w:val="single" w:color="auto" w:sz="4" w:space="0"/>
              <w:bottom w:val="single" w:color="auto" w:sz="4" w:space="0"/>
              <w:right w:val="single" w:color="auto" w:sz="4" w:space="0"/>
            </w:tcBorders>
            <w:vAlign w:val="center"/>
          </w:tcPr>
          <w:p w14:paraId="720D697F">
            <w:pPr>
              <w:tabs>
                <w:tab w:val="left" w:pos="9765"/>
              </w:tabs>
              <w:spacing w:line="360" w:lineRule="auto"/>
              <w:jc w:val="center"/>
              <w:rPr>
                <w:rFonts w:ascii="仿宋_GB2312" w:hAnsi="宋体" w:eastAsia="仿宋_GB2312"/>
                <w:szCs w:val="20"/>
              </w:rPr>
            </w:pPr>
            <w:r>
              <w:rPr>
                <w:rFonts w:hint="eastAsia" w:ascii="仿宋_GB2312" w:hAnsi="宋体" w:eastAsia="仿宋_GB2312"/>
              </w:rPr>
              <w:t>责任</w:t>
            </w:r>
          </w:p>
          <w:p w14:paraId="6815BE1B">
            <w:pPr>
              <w:tabs>
                <w:tab w:val="left" w:pos="9765"/>
              </w:tabs>
              <w:spacing w:line="360" w:lineRule="auto"/>
              <w:jc w:val="center"/>
              <w:rPr>
                <w:rFonts w:ascii="仿宋_GB2312" w:hAnsi="宋体" w:eastAsia="仿宋_GB2312"/>
                <w:szCs w:val="20"/>
              </w:rPr>
            </w:pPr>
            <w:r>
              <w:rPr>
                <w:rFonts w:hint="eastAsia" w:ascii="仿宋_GB2312" w:hAnsi="宋体" w:eastAsia="仿宋_GB2312"/>
              </w:rPr>
              <w:t>或分工</w:t>
            </w:r>
          </w:p>
        </w:tc>
        <w:tc>
          <w:tcPr>
            <w:tcW w:w="1551" w:type="dxa"/>
            <w:tcBorders>
              <w:top w:val="single" w:color="auto" w:sz="4" w:space="0"/>
              <w:left w:val="single" w:color="auto" w:sz="4" w:space="0"/>
              <w:bottom w:val="single" w:color="auto" w:sz="4" w:space="0"/>
              <w:right w:val="single" w:color="auto" w:sz="4" w:space="0"/>
            </w:tcBorders>
            <w:vAlign w:val="center"/>
          </w:tcPr>
          <w:p w14:paraId="2F53512D">
            <w:pPr>
              <w:tabs>
                <w:tab w:val="left" w:pos="9765"/>
              </w:tabs>
              <w:spacing w:line="360" w:lineRule="auto"/>
              <w:jc w:val="center"/>
              <w:rPr>
                <w:rFonts w:ascii="仿宋_GB2312" w:hAnsi="宋体" w:eastAsia="仿宋_GB2312"/>
                <w:szCs w:val="20"/>
              </w:rPr>
            </w:pPr>
            <w:r>
              <w:rPr>
                <w:rFonts w:hint="eastAsia" w:ascii="仿宋_GB2312" w:hAnsi="宋体" w:eastAsia="仿宋_GB2312"/>
              </w:rPr>
              <w:t>项目经历或主要工作业绩</w:t>
            </w:r>
          </w:p>
        </w:tc>
      </w:tr>
      <w:tr w14:paraId="4DDE68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tcPr>
          <w:p w14:paraId="08D5855C">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735" w:type="dxa"/>
            <w:tcBorders>
              <w:top w:val="single" w:color="auto" w:sz="4" w:space="0"/>
              <w:left w:val="single" w:color="auto" w:sz="4" w:space="0"/>
              <w:bottom w:val="single" w:color="auto" w:sz="4" w:space="0"/>
              <w:right w:val="single" w:color="auto" w:sz="4" w:space="0"/>
            </w:tcBorders>
          </w:tcPr>
          <w:p w14:paraId="58B44E35">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735" w:type="dxa"/>
            <w:tcBorders>
              <w:top w:val="single" w:color="auto" w:sz="4" w:space="0"/>
              <w:left w:val="single" w:color="auto" w:sz="4" w:space="0"/>
              <w:bottom w:val="single" w:color="auto" w:sz="4" w:space="0"/>
              <w:right w:val="single" w:color="auto" w:sz="4" w:space="0"/>
            </w:tcBorders>
          </w:tcPr>
          <w:p w14:paraId="63BB00D8">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735" w:type="dxa"/>
            <w:tcBorders>
              <w:top w:val="single" w:color="auto" w:sz="4" w:space="0"/>
              <w:left w:val="single" w:color="auto" w:sz="4" w:space="0"/>
              <w:bottom w:val="single" w:color="auto" w:sz="4" w:space="0"/>
              <w:right w:val="single" w:color="auto" w:sz="4" w:space="0"/>
            </w:tcBorders>
          </w:tcPr>
          <w:p w14:paraId="10C4091E">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1155" w:type="dxa"/>
            <w:tcBorders>
              <w:top w:val="single" w:color="auto" w:sz="4" w:space="0"/>
              <w:left w:val="single" w:color="auto" w:sz="4" w:space="0"/>
              <w:bottom w:val="single" w:color="auto" w:sz="4" w:space="0"/>
              <w:right w:val="single" w:color="auto" w:sz="4" w:space="0"/>
            </w:tcBorders>
          </w:tcPr>
          <w:p w14:paraId="149D8F93">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735" w:type="dxa"/>
            <w:tcBorders>
              <w:top w:val="single" w:color="auto" w:sz="4" w:space="0"/>
              <w:left w:val="single" w:color="auto" w:sz="4" w:space="0"/>
              <w:bottom w:val="single" w:color="auto" w:sz="4" w:space="0"/>
              <w:right w:val="single" w:color="auto" w:sz="4" w:space="0"/>
            </w:tcBorders>
          </w:tcPr>
          <w:p w14:paraId="202ECC63">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840" w:type="dxa"/>
            <w:tcBorders>
              <w:top w:val="single" w:color="auto" w:sz="4" w:space="0"/>
              <w:left w:val="single" w:color="auto" w:sz="4" w:space="0"/>
              <w:bottom w:val="single" w:color="auto" w:sz="4" w:space="0"/>
              <w:right w:val="single" w:color="auto" w:sz="4" w:space="0"/>
            </w:tcBorders>
          </w:tcPr>
          <w:p w14:paraId="28F20A73">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1260" w:type="dxa"/>
            <w:tcBorders>
              <w:top w:val="single" w:color="auto" w:sz="4" w:space="0"/>
              <w:left w:val="single" w:color="auto" w:sz="4" w:space="0"/>
              <w:bottom w:val="single" w:color="auto" w:sz="4" w:space="0"/>
              <w:right w:val="single" w:color="auto" w:sz="4" w:space="0"/>
            </w:tcBorders>
          </w:tcPr>
          <w:p w14:paraId="2560DBC6">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945" w:type="dxa"/>
            <w:tcBorders>
              <w:top w:val="single" w:color="auto" w:sz="4" w:space="0"/>
              <w:left w:val="single" w:color="auto" w:sz="4" w:space="0"/>
              <w:bottom w:val="single" w:color="auto" w:sz="4" w:space="0"/>
              <w:right w:val="single" w:color="auto" w:sz="4" w:space="0"/>
            </w:tcBorders>
          </w:tcPr>
          <w:p w14:paraId="2BE8A96E">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1551" w:type="dxa"/>
            <w:tcBorders>
              <w:top w:val="single" w:color="auto" w:sz="4" w:space="0"/>
              <w:left w:val="single" w:color="auto" w:sz="4" w:space="0"/>
              <w:bottom w:val="single" w:color="auto" w:sz="4" w:space="0"/>
              <w:right w:val="single" w:color="auto" w:sz="4" w:space="0"/>
            </w:tcBorders>
          </w:tcPr>
          <w:p w14:paraId="7DCFF795">
            <w:pPr>
              <w:tabs>
                <w:tab w:val="left" w:pos="9765"/>
              </w:tabs>
              <w:spacing w:line="360" w:lineRule="auto"/>
              <w:rPr>
                <w:rFonts w:ascii="仿宋_GB2312" w:hAnsi="宋体" w:eastAsia="仿宋_GB2312"/>
                <w:szCs w:val="20"/>
              </w:rPr>
            </w:pPr>
            <w:r>
              <w:rPr>
                <w:rFonts w:hint="eastAsia" w:ascii="仿宋_GB2312" w:hAnsi="宋体" w:eastAsia="仿宋_GB2312"/>
              </w:rPr>
              <w:t> </w:t>
            </w:r>
          </w:p>
        </w:tc>
      </w:tr>
      <w:tr w14:paraId="16BDE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tcPr>
          <w:p w14:paraId="29CDCC54">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735" w:type="dxa"/>
            <w:tcBorders>
              <w:top w:val="single" w:color="auto" w:sz="4" w:space="0"/>
              <w:left w:val="single" w:color="auto" w:sz="4" w:space="0"/>
              <w:bottom w:val="single" w:color="auto" w:sz="4" w:space="0"/>
              <w:right w:val="single" w:color="auto" w:sz="4" w:space="0"/>
            </w:tcBorders>
          </w:tcPr>
          <w:p w14:paraId="044998EB">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735" w:type="dxa"/>
            <w:tcBorders>
              <w:top w:val="single" w:color="auto" w:sz="4" w:space="0"/>
              <w:left w:val="single" w:color="auto" w:sz="4" w:space="0"/>
              <w:bottom w:val="single" w:color="auto" w:sz="4" w:space="0"/>
              <w:right w:val="single" w:color="auto" w:sz="4" w:space="0"/>
            </w:tcBorders>
          </w:tcPr>
          <w:p w14:paraId="66F063B4">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735" w:type="dxa"/>
            <w:tcBorders>
              <w:top w:val="single" w:color="auto" w:sz="4" w:space="0"/>
              <w:left w:val="single" w:color="auto" w:sz="4" w:space="0"/>
              <w:bottom w:val="single" w:color="auto" w:sz="4" w:space="0"/>
              <w:right w:val="single" w:color="auto" w:sz="4" w:space="0"/>
            </w:tcBorders>
          </w:tcPr>
          <w:p w14:paraId="03507DAE">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1155" w:type="dxa"/>
            <w:tcBorders>
              <w:top w:val="single" w:color="auto" w:sz="4" w:space="0"/>
              <w:left w:val="single" w:color="auto" w:sz="4" w:space="0"/>
              <w:bottom w:val="single" w:color="auto" w:sz="4" w:space="0"/>
              <w:right w:val="single" w:color="auto" w:sz="4" w:space="0"/>
            </w:tcBorders>
          </w:tcPr>
          <w:p w14:paraId="46D832A7">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735" w:type="dxa"/>
            <w:tcBorders>
              <w:top w:val="single" w:color="auto" w:sz="4" w:space="0"/>
              <w:left w:val="single" w:color="auto" w:sz="4" w:space="0"/>
              <w:bottom w:val="single" w:color="auto" w:sz="4" w:space="0"/>
              <w:right w:val="single" w:color="auto" w:sz="4" w:space="0"/>
            </w:tcBorders>
          </w:tcPr>
          <w:p w14:paraId="4D3EBD68">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840" w:type="dxa"/>
            <w:tcBorders>
              <w:top w:val="single" w:color="auto" w:sz="4" w:space="0"/>
              <w:left w:val="single" w:color="auto" w:sz="4" w:space="0"/>
              <w:bottom w:val="single" w:color="auto" w:sz="4" w:space="0"/>
              <w:right w:val="single" w:color="auto" w:sz="4" w:space="0"/>
            </w:tcBorders>
          </w:tcPr>
          <w:p w14:paraId="146EE9BF">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1260" w:type="dxa"/>
            <w:tcBorders>
              <w:top w:val="single" w:color="auto" w:sz="4" w:space="0"/>
              <w:left w:val="single" w:color="auto" w:sz="4" w:space="0"/>
              <w:bottom w:val="single" w:color="auto" w:sz="4" w:space="0"/>
              <w:right w:val="single" w:color="auto" w:sz="4" w:space="0"/>
            </w:tcBorders>
          </w:tcPr>
          <w:p w14:paraId="693C344C">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945" w:type="dxa"/>
            <w:tcBorders>
              <w:top w:val="single" w:color="auto" w:sz="4" w:space="0"/>
              <w:left w:val="single" w:color="auto" w:sz="4" w:space="0"/>
              <w:bottom w:val="single" w:color="auto" w:sz="4" w:space="0"/>
              <w:right w:val="single" w:color="auto" w:sz="4" w:space="0"/>
            </w:tcBorders>
          </w:tcPr>
          <w:p w14:paraId="76D53A5F">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1551" w:type="dxa"/>
            <w:tcBorders>
              <w:top w:val="single" w:color="auto" w:sz="4" w:space="0"/>
              <w:left w:val="single" w:color="auto" w:sz="4" w:space="0"/>
              <w:bottom w:val="single" w:color="auto" w:sz="4" w:space="0"/>
              <w:right w:val="single" w:color="auto" w:sz="4" w:space="0"/>
            </w:tcBorders>
          </w:tcPr>
          <w:p w14:paraId="1638FE19">
            <w:pPr>
              <w:tabs>
                <w:tab w:val="left" w:pos="9765"/>
              </w:tabs>
              <w:spacing w:line="360" w:lineRule="auto"/>
              <w:rPr>
                <w:rFonts w:ascii="仿宋_GB2312" w:hAnsi="宋体" w:eastAsia="仿宋_GB2312"/>
                <w:szCs w:val="20"/>
              </w:rPr>
            </w:pPr>
            <w:r>
              <w:rPr>
                <w:rFonts w:hint="eastAsia" w:ascii="仿宋_GB2312" w:hAnsi="宋体" w:eastAsia="仿宋_GB2312"/>
              </w:rPr>
              <w:t> </w:t>
            </w:r>
          </w:p>
        </w:tc>
      </w:tr>
      <w:tr w14:paraId="620214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tcPr>
          <w:p w14:paraId="64EEF86D">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735" w:type="dxa"/>
            <w:tcBorders>
              <w:top w:val="single" w:color="auto" w:sz="4" w:space="0"/>
              <w:left w:val="single" w:color="auto" w:sz="4" w:space="0"/>
              <w:bottom w:val="single" w:color="auto" w:sz="4" w:space="0"/>
              <w:right w:val="single" w:color="auto" w:sz="4" w:space="0"/>
            </w:tcBorders>
          </w:tcPr>
          <w:p w14:paraId="23C2E146">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735" w:type="dxa"/>
            <w:tcBorders>
              <w:top w:val="single" w:color="auto" w:sz="4" w:space="0"/>
              <w:left w:val="single" w:color="auto" w:sz="4" w:space="0"/>
              <w:bottom w:val="single" w:color="auto" w:sz="4" w:space="0"/>
              <w:right w:val="single" w:color="auto" w:sz="4" w:space="0"/>
            </w:tcBorders>
          </w:tcPr>
          <w:p w14:paraId="3C21B90F">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735" w:type="dxa"/>
            <w:tcBorders>
              <w:top w:val="single" w:color="auto" w:sz="4" w:space="0"/>
              <w:left w:val="single" w:color="auto" w:sz="4" w:space="0"/>
              <w:bottom w:val="single" w:color="auto" w:sz="4" w:space="0"/>
              <w:right w:val="single" w:color="auto" w:sz="4" w:space="0"/>
            </w:tcBorders>
          </w:tcPr>
          <w:p w14:paraId="7F6A06A7">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1155" w:type="dxa"/>
            <w:tcBorders>
              <w:top w:val="single" w:color="auto" w:sz="4" w:space="0"/>
              <w:left w:val="single" w:color="auto" w:sz="4" w:space="0"/>
              <w:bottom w:val="single" w:color="auto" w:sz="4" w:space="0"/>
              <w:right w:val="single" w:color="auto" w:sz="4" w:space="0"/>
            </w:tcBorders>
          </w:tcPr>
          <w:p w14:paraId="6A1986FA">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735" w:type="dxa"/>
            <w:tcBorders>
              <w:top w:val="single" w:color="auto" w:sz="4" w:space="0"/>
              <w:left w:val="single" w:color="auto" w:sz="4" w:space="0"/>
              <w:bottom w:val="single" w:color="auto" w:sz="4" w:space="0"/>
              <w:right w:val="single" w:color="auto" w:sz="4" w:space="0"/>
            </w:tcBorders>
          </w:tcPr>
          <w:p w14:paraId="56C50289">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840" w:type="dxa"/>
            <w:tcBorders>
              <w:top w:val="single" w:color="auto" w:sz="4" w:space="0"/>
              <w:left w:val="single" w:color="auto" w:sz="4" w:space="0"/>
              <w:bottom w:val="single" w:color="auto" w:sz="4" w:space="0"/>
              <w:right w:val="single" w:color="auto" w:sz="4" w:space="0"/>
            </w:tcBorders>
          </w:tcPr>
          <w:p w14:paraId="33B9ECF9">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1260" w:type="dxa"/>
            <w:tcBorders>
              <w:top w:val="single" w:color="auto" w:sz="4" w:space="0"/>
              <w:left w:val="single" w:color="auto" w:sz="4" w:space="0"/>
              <w:bottom w:val="single" w:color="auto" w:sz="4" w:space="0"/>
              <w:right w:val="single" w:color="auto" w:sz="4" w:space="0"/>
            </w:tcBorders>
          </w:tcPr>
          <w:p w14:paraId="35708BF3">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945" w:type="dxa"/>
            <w:tcBorders>
              <w:top w:val="single" w:color="auto" w:sz="4" w:space="0"/>
              <w:left w:val="single" w:color="auto" w:sz="4" w:space="0"/>
              <w:bottom w:val="single" w:color="auto" w:sz="4" w:space="0"/>
              <w:right w:val="single" w:color="auto" w:sz="4" w:space="0"/>
            </w:tcBorders>
          </w:tcPr>
          <w:p w14:paraId="2703422D">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1551" w:type="dxa"/>
            <w:tcBorders>
              <w:top w:val="single" w:color="auto" w:sz="4" w:space="0"/>
              <w:left w:val="single" w:color="auto" w:sz="4" w:space="0"/>
              <w:bottom w:val="single" w:color="auto" w:sz="4" w:space="0"/>
              <w:right w:val="single" w:color="auto" w:sz="4" w:space="0"/>
            </w:tcBorders>
          </w:tcPr>
          <w:p w14:paraId="14CFFC12">
            <w:pPr>
              <w:tabs>
                <w:tab w:val="left" w:pos="9765"/>
              </w:tabs>
              <w:spacing w:line="360" w:lineRule="auto"/>
              <w:rPr>
                <w:rFonts w:ascii="仿宋_GB2312" w:hAnsi="宋体" w:eastAsia="仿宋_GB2312"/>
                <w:szCs w:val="20"/>
              </w:rPr>
            </w:pPr>
            <w:r>
              <w:rPr>
                <w:rFonts w:hint="eastAsia" w:ascii="仿宋_GB2312" w:hAnsi="宋体" w:eastAsia="仿宋_GB2312"/>
              </w:rPr>
              <w:t> </w:t>
            </w:r>
          </w:p>
        </w:tc>
      </w:tr>
    </w:tbl>
    <w:p w14:paraId="64E2B1C0">
      <w:pPr>
        <w:tabs>
          <w:tab w:val="left" w:pos="9765"/>
        </w:tabs>
        <w:snapToGrid w:val="0"/>
        <w:spacing w:line="360" w:lineRule="auto"/>
        <w:jc w:val="center"/>
        <w:rPr>
          <w:rFonts w:ascii="仿宋_GB2312" w:hAnsi="宋体" w:eastAsia="仿宋_GB2312"/>
          <w:szCs w:val="20"/>
        </w:rPr>
      </w:pPr>
      <w:r>
        <w:rPr>
          <w:rFonts w:hint="eastAsia" w:ascii="仿宋_GB2312" w:hAnsi="宋体" w:eastAsia="仿宋_GB2312"/>
        </w:rPr>
        <w:t> </w:t>
      </w:r>
    </w:p>
    <w:p w14:paraId="3E2978EB">
      <w:pPr>
        <w:tabs>
          <w:tab w:val="left" w:pos="9765"/>
        </w:tabs>
        <w:snapToGrid w:val="0"/>
        <w:spacing w:line="360" w:lineRule="auto"/>
        <w:jc w:val="center"/>
        <w:rPr>
          <w:rFonts w:ascii="仿宋_GB2312" w:hAnsi="宋体" w:eastAsia="仿宋_GB2312"/>
          <w:b/>
          <w:sz w:val="28"/>
          <w:szCs w:val="28"/>
        </w:rPr>
      </w:pPr>
      <w:r>
        <w:rPr>
          <w:rFonts w:hint="eastAsia" w:ascii="仿宋_GB2312" w:hAnsi="宋体" w:eastAsia="仿宋_GB2312"/>
          <w:b/>
          <w:sz w:val="28"/>
          <w:szCs w:val="28"/>
        </w:rPr>
        <w:t>技术人员名单</w:t>
      </w:r>
    </w:p>
    <w:tbl>
      <w:tblPr>
        <w:tblStyle w:val="27"/>
        <w:tblW w:w="934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0"/>
        <w:gridCol w:w="735"/>
        <w:gridCol w:w="735"/>
        <w:gridCol w:w="735"/>
        <w:gridCol w:w="1155"/>
        <w:gridCol w:w="735"/>
        <w:gridCol w:w="840"/>
        <w:gridCol w:w="1260"/>
        <w:gridCol w:w="945"/>
        <w:gridCol w:w="1575"/>
      </w:tblGrid>
      <w:tr w14:paraId="7913B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vAlign w:val="center"/>
          </w:tcPr>
          <w:p w14:paraId="1ECB0E0F">
            <w:pPr>
              <w:tabs>
                <w:tab w:val="left" w:pos="9765"/>
              </w:tabs>
              <w:spacing w:line="360" w:lineRule="auto"/>
              <w:jc w:val="center"/>
              <w:rPr>
                <w:rFonts w:ascii="仿宋_GB2312" w:hAnsi="宋体" w:eastAsia="仿宋_GB2312"/>
                <w:szCs w:val="20"/>
              </w:rPr>
            </w:pPr>
            <w:r>
              <w:rPr>
                <w:rFonts w:hint="eastAsia" w:ascii="仿宋_GB2312" w:hAnsi="宋体" w:eastAsia="仿宋_GB2312"/>
              </w:rPr>
              <w:t>序号</w:t>
            </w:r>
          </w:p>
        </w:tc>
        <w:tc>
          <w:tcPr>
            <w:tcW w:w="735" w:type="dxa"/>
            <w:tcBorders>
              <w:top w:val="single" w:color="auto" w:sz="4" w:space="0"/>
              <w:left w:val="single" w:color="auto" w:sz="4" w:space="0"/>
              <w:bottom w:val="single" w:color="auto" w:sz="4" w:space="0"/>
              <w:right w:val="single" w:color="auto" w:sz="4" w:space="0"/>
            </w:tcBorders>
            <w:vAlign w:val="center"/>
          </w:tcPr>
          <w:p w14:paraId="5F5C90C9">
            <w:pPr>
              <w:tabs>
                <w:tab w:val="left" w:pos="9765"/>
              </w:tabs>
              <w:spacing w:line="360" w:lineRule="auto"/>
              <w:jc w:val="center"/>
              <w:rPr>
                <w:rFonts w:ascii="仿宋_GB2312" w:hAnsi="宋体" w:eastAsia="仿宋_GB2312"/>
                <w:szCs w:val="20"/>
              </w:rPr>
            </w:pPr>
            <w:r>
              <w:rPr>
                <w:rFonts w:hint="eastAsia" w:ascii="仿宋_GB2312" w:hAnsi="宋体" w:eastAsia="仿宋_GB2312"/>
              </w:rPr>
              <w:t>姓名</w:t>
            </w:r>
          </w:p>
        </w:tc>
        <w:tc>
          <w:tcPr>
            <w:tcW w:w="735" w:type="dxa"/>
            <w:tcBorders>
              <w:top w:val="single" w:color="auto" w:sz="4" w:space="0"/>
              <w:left w:val="single" w:color="auto" w:sz="4" w:space="0"/>
              <w:bottom w:val="single" w:color="auto" w:sz="4" w:space="0"/>
              <w:right w:val="single" w:color="auto" w:sz="4" w:space="0"/>
            </w:tcBorders>
            <w:vAlign w:val="center"/>
          </w:tcPr>
          <w:p w14:paraId="43C7F9DD">
            <w:pPr>
              <w:tabs>
                <w:tab w:val="left" w:pos="9765"/>
              </w:tabs>
              <w:spacing w:line="360" w:lineRule="auto"/>
              <w:jc w:val="center"/>
              <w:rPr>
                <w:rFonts w:ascii="仿宋_GB2312" w:hAnsi="宋体" w:eastAsia="仿宋_GB2312"/>
                <w:szCs w:val="20"/>
              </w:rPr>
            </w:pPr>
            <w:r>
              <w:rPr>
                <w:rFonts w:hint="eastAsia" w:ascii="仿宋_GB2312" w:hAnsi="宋体" w:eastAsia="仿宋_GB2312"/>
              </w:rPr>
              <w:t>性别</w:t>
            </w:r>
          </w:p>
        </w:tc>
        <w:tc>
          <w:tcPr>
            <w:tcW w:w="735" w:type="dxa"/>
            <w:tcBorders>
              <w:top w:val="single" w:color="auto" w:sz="4" w:space="0"/>
              <w:left w:val="single" w:color="auto" w:sz="4" w:space="0"/>
              <w:bottom w:val="single" w:color="auto" w:sz="4" w:space="0"/>
              <w:right w:val="single" w:color="auto" w:sz="4" w:space="0"/>
            </w:tcBorders>
            <w:vAlign w:val="center"/>
          </w:tcPr>
          <w:p w14:paraId="1F1017FA">
            <w:pPr>
              <w:tabs>
                <w:tab w:val="left" w:pos="9765"/>
              </w:tabs>
              <w:spacing w:line="360" w:lineRule="auto"/>
              <w:jc w:val="center"/>
              <w:rPr>
                <w:rFonts w:ascii="仿宋_GB2312" w:hAnsi="宋体" w:eastAsia="仿宋_GB2312"/>
                <w:szCs w:val="20"/>
              </w:rPr>
            </w:pPr>
            <w:r>
              <w:rPr>
                <w:rFonts w:hint="eastAsia" w:ascii="仿宋_GB2312" w:hAnsi="宋体" w:eastAsia="仿宋_GB2312"/>
              </w:rPr>
              <w:t>年龄</w:t>
            </w:r>
          </w:p>
        </w:tc>
        <w:tc>
          <w:tcPr>
            <w:tcW w:w="1155" w:type="dxa"/>
            <w:tcBorders>
              <w:top w:val="single" w:color="auto" w:sz="4" w:space="0"/>
              <w:left w:val="single" w:color="auto" w:sz="4" w:space="0"/>
              <w:bottom w:val="single" w:color="auto" w:sz="4" w:space="0"/>
              <w:right w:val="single" w:color="auto" w:sz="4" w:space="0"/>
            </w:tcBorders>
            <w:vAlign w:val="center"/>
          </w:tcPr>
          <w:p w14:paraId="04140899">
            <w:pPr>
              <w:tabs>
                <w:tab w:val="left" w:pos="9765"/>
              </w:tabs>
              <w:spacing w:line="360" w:lineRule="auto"/>
              <w:jc w:val="center"/>
              <w:rPr>
                <w:rFonts w:ascii="仿宋_GB2312" w:hAnsi="宋体" w:eastAsia="仿宋_GB2312"/>
                <w:szCs w:val="20"/>
              </w:rPr>
            </w:pPr>
            <w:r>
              <w:rPr>
                <w:rFonts w:hint="eastAsia" w:ascii="仿宋_GB2312" w:hAnsi="宋体" w:eastAsia="仿宋_GB2312"/>
              </w:rPr>
              <w:t>毕业学校和学历</w:t>
            </w:r>
          </w:p>
        </w:tc>
        <w:tc>
          <w:tcPr>
            <w:tcW w:w="735" w:type="dxa"/>
            <w:tcBorders>
              <w:top w:val="single" w:color="auto" w:sz="4" w:space="0"/>
              <w:left w:val="single" w:color="auto" w:sz="4" w:space="0"/>
              <w:bottom w:val="single" w:color="auto" w:sz="4" w:space="0"/>
              <w:right w:val="single" w:color="auto" w:sz="4" w:space="0"/>
            </w:tcBorders>
            <w:vAlign w:val="center"/>
          </w:tcPr>
          <w:p w14:paraId="1055B028">
            <w:pPr>
              <w:tabs>
                <w:tab w:val="left" w:pos="9765"/>
              </w:tabs>
              <w:spacing w:line="360" w:lineRule="auto"/>
              <w:jc w:val="center"/>
              <w:rPr>
                <w:rFonts w:ascii="仿宋_GB2312" w:hAnsi="宋体" w:eastAsia="仿宋_GB2312"/>
                <w:szCs w:val="20"/>
              </w:rPr>
            </w:pPr>
            <w:r>
              <w:rPr>
                <w:rFonts w:hint="eastAsia" w:ascii="仿宋_GB2312" w:hAnsi="宋体" w:eastAsia="仿宋_GB2312"/>
              </w:rPr>
              <w:t>专业</w:t>
            </w:r>
          </w:p>
        </w:tc>
        <w:tc>
          <w:tcPr>
            <w:tcW w:w="840" w:type="dxa"/>
            <w:tcBorders>
              <w:top w:val="single" w:color="auto" w:sz="4" w:space="0"/>
              <w:left w:val="single" w:color="auto" w:sz="4" w:space="0"/>
              <w:bottom w:val="single" w:color="auto" w:sz="4" w:space="0"/>
              <w:right w:val="single" w:color="auto" w:sz="4" w:space="0"/>
            </w:tcBorders>
            <w:vAlign w:val="center"/>
          </w:tcPr>
          <w:p w14:paraId="7EE94600">
            <w:pPr>
              <w:tabs>
                <w:tab w:val="left" w:pos="9765"/>
              </w:tabs>
              <w:spacing w:line="360" w:lineRule="auto"/>
              <w:jc w:val="center"/>
              <w:rPr>
                <w:rFonts w:ascii="仿宋_GB2312" w:hAnsi="宋体" w:eastAsia="仿宋_GB2312"/>
                <w:szCs w:val="20"/>
              </w:rPr>
            </w:pPr>
            <w:r>
              <w:rPr>
                <w:rFonts w:hint="eastAsia" w:ascii="仿宋_GB2312" w:hAnsi="宋体" w:eastAsia="仿宋_GB2312"/>
              </w:rPr>
              <w:t>职称</w:t>
            </w:r>
          </w:p>
        </w:tc>
        <w:tc>
          <w:tcPr>
            <w:tcW w:w="1260" w:type="dxa"/>
            <w:tcBorders>
              <w:top w:val="single" w:color="auto" w:sz="4" w:space="0"/>
              <w:left w:val="single" w:color="auto" w:sz="4" w:space="0"/>
              <w:bottom w:val="single" w:color="auto" w:sz="4" w:space="0"/>
              <w:right w:val="single" w:color="auto" w:sz="4" w:space="0"/>
            </w:tcBorders>
            <w:vAlign w:val="center"/>
          </w:tcPr>
          <w:p w14:paraId="4110F993">
            <w:pPr>
              <w:tabs>
                <w:tab w:val="left" w:pos="9765"/>
              </w:tabs>
              <w:spacing w:line="360" w:lineRule="auto"/>
              <w:jc w:val="center"/>
              <w:rPr>
                <w:rFonts w:ascii="仿宋_GB2312" w:hAnsi="宋体" w:eastAsia="仿宋_GB2312"/>
                <w:szCs w:val="20"/>
              </w:rPr>
            </w:pPr>
            <w:r>
              <w:rPr>
                <w:rFonts w:hint="eastAsia" w:ascii="仿宋_GB2312" w:hAnsi="宋体" w:eastAsia="仿宋_GB2312"/>
              </w:rPr>
              <w:t>专业培训及证书</w:t>
            </w:r>
          </w:p>
        </w:tc>
        <w:tc>
          <w:tcPr>
            <w:tcW w:w="945" w:type="dxa"/>
            <w:tcBorders>
              <w:top w:val="single" w:color="auto" w:sz="4" w:space="0"/>
              <w:left w:val="single" w:color="auto" w:sz="4" w:space="0"/>
              <w:bottom w:val="single" w:color="auto" w:sz="4" w:space="0"/>
              <w:right w:val="single" w:color="auto" w:sz="4" w:space="0"/>
            </w:tcBorders>
            <w:vAlign w:val="center"/>
          </w:tcPr>
          <w:p w14:paraId="5F9E58D5">
            <w:pPr>
              <w:tabs>
                <w:tab w:val="left" w:pos="9765"/>
              </w:tabs>
              <w:spacing w:line="360" w:lineRule="auto"/>
              <w:jc w:val="center"/>
              <w:rPr>
                <w:rFonts w:ascii="仿宋_GB2312" w:hAnsi="宋体" w:eastAsia="仿宋_GB2312"/>
                <w:szCs w:val="20"/>
              </w:rPr>
            </w:pPr>
            <w:r>
              <w:rPr>
                <w:rFonts w:hint="eastAsia" w:ascii="仿宋_GB2312" w:hAnsi="宋体" w:eastAsia="仿宋_GB2312"/>
              </w:rPr>
              <w:t>责任</w:t>
            </w:r>
          </w:p>
          <w:p w14:paraId="386F3043">
            <w:pPr>
              <w:tabs>
                <w:tab w:val="left" w:pos="9765"/>
              </w:tabs>
              <w:spacing w:line="360" w:lineRule="auto"/>
              <w:jc w:val="center"/>
              <w:rPr>
                <w:rFonts w:ascii="仿宋_GB2312" w:hAnsi="宋体" w:eastAsia="仿宋_GB2312"/>
                <w:szCs w:val="20"/>
              </w:rPr>
            </w:pPr>
            <w:r>
              <w:rPr>
                <w:rFonts w:hint="eastAsia" w:ascii="仿宋_GB2312" w:hAnsi="宋体" w:eastAsia="仿宋_GB2312"/>
              </w:rPr>
              <w:t>或分工</w:t>
            </w:r>
          </w:p>
        </w:tc>
        <w:tc>
          <w:tcPr>
            <w:tcW w:w="1575" w:type="dxa"/>
            <w:tcBorders>
              <w:top w:val="single" w:color="auto" w:sz="4" w:space="0"/>
              <w:left w:val="single" w:color="auto" w:sz="4" w:space="0"/>
              <w:bottom w:val="single" w:color="auto" w:sz="4" w:space="0"/>
              <w:right w:val="single" w:color="auto" w:sz="4" w:space="0"/>
            </w:tcBorders>
            <w:vAlign w:val="center"/>
          </w:tcPr>
          <w:p w14:paraId="5FA22CCD">
            <w:pPr>
              <w:tabs>
                <w:tab w:val="left" w:pos="9765"/>
              </w:tabs>
              <w:spacing w:line="360" w:lineRule="auto"/>
              <w:jc w:val="center"/>
              <w:rPr>
                <w:rFonts w:ascii="仿宋_GB2312" w:hAnsi="宋体" w:eastAsia="仿宋_GB2312"/>
                <w:szCs w:val="20"/>
              </w:rPr>
            </w:pPr>
            <w:r>
              <w:rPr>
                <w:rFonts w:hint="eastAsia" w:ascii="仿宋_GB2312" w:hAnsi="宋体" w:eastAsia="仿宋_GB2312"/>
              </w:rPr>
              <w:t>项目经历或</w:t>
            </w:r>
          </w:p>
          <w:p w14:paraId="48F533C1">
            <w:pPr>
              <w:tabs>
                <w:tab w:val="left" w:pos="9765"/>
              </w:tabs>
              <w:spacing w:line="360" w:lineRule="auto"/>
              <w:jc w:val="center"/>
              <w:rPr>
                <w:rFonts w:ascii="仿宋_GB2312" w:hAnsi="宋体" w:eastAsia="仿宋_GB2312"/>
                <w:szCs w:val="20"/>
              </w:rPr>
            </w:pPr>
            <w:r>
              <w:rPr>
                <w:rFonts w:hint="eastAsia" w:ascii="仿宋_GB2312" w:hAnsi="宋体" w:eastAsia="仿宋_GB2312"/>
              </w:rPr>
              <w:t>主要工作业绩</w:t>
            </w:r>
          </w:p>
        </w:tc>
      </w:tr>
      <w:tr w14:paraId="0909BA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tcPr>
          <w:p w14:paraId="5FBCD0BF">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735" w:type="dxa"/>
            <w:tcBorders>
              <w:top w:val="single" w:color="auto" w:sz="4" w:space="0"/>
              <w:left w:val="single" w:color="auto" w:sz="4" w:space="0"/>
              <w:bottom w:val="single" w:color="auto" w:sz="4" w:space="0"/>
              <w:right w:val="single" w:color="auto" w:sz="4" w:space="0"/>
            </w:tcBorders>
          </w:tcPr>
          <w:p w14:paraId="67F371D5">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735" w:type="dxa"/>
            <w:tcBorders>
              <w:top w:val="single" w:color="auto" w:sz="4" w:space="0"/>
              <w:left w:val="single" w:color="auto" w:sz="4" w:space="0"/>
              <w:bottom w:val="single" w:color="auto" w:sz="4" w:space="0"/>
              <w:right w:val="single" w:color="auto" w:sz="4" w:space="0"/>
            </w:tcBorders>
          </w:tcPr>
          <w:p w14:paraId="6748421A">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735" w:type="dxa"/>
            <w:tcBorders>
              <w:top w:val="single" w:color="auto" w:sz="4" w:space="0"/>
              <w:left w:val="single" w:color="auto" w:sz="4" w:space="0"/>
              <w:bottom w:val="single" w:color="auto" w:sz="4" w:space="0"/>
              <w:right w:val="single" w:color="auto" w:sz="4" w:space="0"/>
            </w:tcBorders>
          </w:tcPr>
          <w:p w14:paraId="0578C6A4">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1155" w:type="dxa"/>
            <w:tcBorders>
              <w:top w:val="single" w:color="auto" w:sz="4" w:space="0"/>
              <w:left w:val="single" w:color="auto" w:sz="4" w:space="0"/>
              <w:bottom w:val="single" w:color="auto" w:sz="4" w:space="0"/>
              <w:right w:val="single" w:color="auto" w:sz="4" w:space="0"/>
            </w:tcBorders>
          </w:tcPr>
          <w:p w14:paraId="34435F85">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735" w:type="dxa"/>
            <w:tcBorders>
              <w:top w:val="single" w:color="auto" w:sz="4" w:space="0"/>
              <w:left w:val="single" w:color="auto" w:sz="4" w:space="0"/>
              <w:bottom w:val="single" w:color="auto" w:sz="4" w:space="0"/>
              <w:right w:val="single" w:color="auto" w:sz="4" w:space="0"/>
            </w:tcBorders>
          </w:tcPr>
          <w:p w14:paraId="0385682D">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840" w:type="dxa"/>
            <w:tcBorders>
              <w:top w:val="single" w:color="auto" w:sz="4" w:space="0"/>
              <w:left w:val="single" w:color="auto" w:sz="4" w:space="0"/>
              <w:bottom w:val="single" w:color="auto" w:sz="4" w:space="0"/>
              <w:right w:val="single" w:color="auto" w:sz="4" w:space="0"/>
            </w:tcBorders>
          </w:tcPr>
          <w:p w14:paraId="32D8DC27">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1260" w:type="dxa"/>
            <w:tcBorders>
              <w:top w:val="single" w:color="auto" w:sz="4" w:space="0"/>
              <w:left w:val="single" w:color="auto" w:sz="4" w:space="0"/>
              <w:bottom w:val="single" w:color="auto" w:sz="4" w:space="0"/>
              <w:right w:val="single" w:color="auto" w:sz="4" w:space="0"/>
            </w:tcBorders>
          </w:tcPr>
          <w:p w14:paraId="59CDE97C">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945" w:type="dxa"/>
            <w:tcBorders>
              <w:top w:val="single" w:color="auto" w:sz="4" w:space="0"/>
              <w:left w:val="single" w:color="auto" w:sz="4" w:space="0"/>
              <w:bottom w:val="single" w:color="auto" w:sz="4" w:space="0"/>
              <w:right w:val="single" w:color="auto" w:sz="4" w:space="0"/>
            </w:tcBorders>
          </w:tcPr>
          <w:p w14:paraId="6A767AE2">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1575" w:type="dxa"/>
            <w:tcBorders>
              <w:top w:val="single" w:color="auto" w:sz="4" w:space="0"/>
              <w:left w:val="single" w:color="auto" w:sz="4" w:space="0"/>
              <w:bottom w:val="single" w:color="auto" w:sz="4" w:space="0"/>
              <w:right w:val="single" w:color="auto" w:sz="4" w:space="0"/>
            </w:tcBorders>
          </w:tcPr>
          <w:p w14:paraId="3A0D2361">
            <w:pPr>
              <w:tabs>
                <w:tab w:val="left" w:pos="9765"/>
              </w:tabs>
              <w:spacing w:line="360" w:lineRule="auto"/>
              <w:rPr>
                <w:rFonts w:ascii="仿宋_GB2312" w:hAnsi="宋体" w:eastAsia="仿宋_GB2312"/>
                <w:szCs w:val="20"/>
              </w:rPr>
            </w:pPr>
            <w:r>
              <w:rPr>
                <w:rFonts w:hint="eastAsia" w:ascii="仿宋_GB2312" w:hAnsi="宋体" w:eastAsia="仿宋_GB2312"/>
              </w:rPr>
              <w:t> </w:t>
            </w:r>
          </w:p>
        </w:tc>
      </w:tr>
      <w:tr w14:paraId="16A3F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tcPr>
          <w:p w14:paraId="7FFCDA11">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735" w:type="dxa"/>
            <w:tcBorders>
              <w:top w:val="single" w:color="auto" w:sz="4" w:space="0"/>
              <w:left w:val="single" w:color="auto" w:sz="4" w:space="0"/>
              <w:bottom w:val="single" w:color="auto" w:sz="4" w:space="0"/>
              <w:right w:val="single" w:color="auto" w:sz="4" w:space="0"/>
            </w:tcBorders>
          </w:tcPr>
          <w:p w14:paraId="40D07752">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735" w:type="dxa"/>
            <w:tcBorders>
              <w:top w:val="single" w:color="auto" w:sz="4" w:space="0"/>
              <w:left w:val="single" w:color="auto" w:sz="4" w:space="0"/>
              <w:bottom w:val="single" w:color="auto" w:sz="4" w:space="0"/>
              <w:right w:val="single" w:color="auto" w:sz="4" w:space="0"/>
            </w:tcBorders>
          </w:tcPr>
          <w:p w14:paraId="25C79324">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735" w:type="dxa"/>
            <w:tcBorders>
              <w:top w:val="single" w:color="auto" w:sz="4" w:space="0"/>
              <w:left w:val="single" w:color="auto" w:sz="4" w:space="0"/>
              <w:bottom w:val="single" w:color="auto" w:sz="4" w:space="0"/>
              <w:right w:val="single" w:color="auto" w:sz="4" w:space="0"/>
            </w:tcBorders>
          </w:tcPr>
          <w:p w14:paraId="3BA46BE2">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1155" w:type="dxa"/>
            <w:tcBorders>
              <w:top w:val="single" w:color="auto" w:sz="4" w:space="0"/>
              <w:left w:val="single" w:color="auto" w:sz="4" w:space="0"/>
              <w:bottom w:val="single" w:color="auto" w:sz="4" w:space="0"/>
              <w:right w:val="single" w:color="auto" w:sz="4" w:space="0"/>
            </w:tcBorders>
          </w:tcPr>
          <w:p w14:paraId="48B85D06">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735" w:type="dxa"/>
            <w:tcBorders>
              <w:top w:val="single" w:color="auto" w:sz="4" w:space="0"/>
              <w:left w:val="single" w:color="auto" w:sz="4" w:space="0"/>
              <w:bottom w:val="single" w:color="auto" w:sz="4" w:space="0"/>
              <w:right w:val="single" w:color="auto" w:sz="4" w:space="0"/>
            </w:tcBorders>
          </w:tcPr>
          <w:p w14:paraId="314449BE">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840" w:type="dxa"/>
            <w:tcBorders>
              <w:top w:val="single" w:color="auto" w:sz="4" w:space="0"/>
              <w:left w:val="single" w:color="auto" w:sz="4" w:space="0"/>
              <w:bottom w:val="single" w:color="auto" w:sz="4" w:space="0"/>
              <w:right w:val="single" w:color="auto" w:sz="4" w:space="0"/>
            </w:tcBorders>
          </w:tcPr>
          <w:p w14:paraId="04F8BF06">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1260" w:type="dxa"/>
            <w:tcBorders>
              <w:top w:val="single" w:color="auto" w:sz="4" w:space="0"/>
              <w:left w:val="single" w:color="auto" w:sz="4" w:space="0"/>
              <w:bottom w:val="single" w:color="auto" w:sz="4" w:space="0"/>
              <w:right w:val="single" w:color="auto" w:sz="4" w:space="0"/>
            </w:tcBorders>
          </w:tcPr>
          <w:p w14:paraId="7A22A5B1">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945" w:type="dxa"/>
            <w:tcBorders>
              <w:top w:val="single" w:color="auto" w:sz="4" w:space="0"/>
              <w:left w:val="single" w:color="auto" w:sz="4" w:space="0"/>
              <w:bottom w:val="single" w:color="auto" w:sz="4" w:space="0"/>
              <w:right w:val="single" w:color="auto" w:sz="4" w:space="0"/>
            </w:tcBorders>
          </w:tcPr>
          <w:p w14:paraId="2334054E">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1575" w:type="dxa"/>
            <w:tcBorders>
              <w:top w:val="single" w:color="auto" w:sz="4" w:space="0"/>
              <w:left w:val="single" w:color="auto" w:sz="4" w:space="0"/>
              <w:bottom w:val="single" w:color="auto" w:sz="4" w:space="0"/>
              <w:right w:val="single" w:color="auto" w:sz="4" w:space="0"/>
            </w:tcBorders>
          </w:tcPr>
          <w:p w14:paraId="463323AD">
            <w:pPr>
              <w:tabs>
                <w:tab w:val="left" w:pos="9765"/>
              </w:tabs>
              <w:spacing w:line="360" w:lineRule="auto"/>
              <w:rPr>
                <w:rFonts w:ascii="仿宋_GB2312" w:hAnsi="宋体" w:eastAsia="仿宋_GB2312"/>
                <w:szCs w:val="20"/>
              </w:rPr>
            </w:pPr>
            <w:r>
              <w:rPr>
                <w:rFonts w:hint="eastAsia" w:ascii="仿宋_GB2312" w:hAnsi="宋体" w:eastAsia="仿宋_GB2312"/>
              </w:rPr>
              <w:t> </w:t>
            </w:r>
          </w:p>
        </w:tc>
      </w:tr>
      <w:tr w14:paraId="5A715F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tcPr>
          <w:p w14:paraId="7094CBE1">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735" w:type="dxa"/>
            <w:tcBorders>
              <w:top w:val="single" w:color="auto" w:sz="4" w:space="0"/>
              <w:left w:val="single" w:color="auto" w:sz="4" w:space="0"/>
              <w:bottom w:val="single" w:color="auto" w:sz="4" w:space="0"/>
              <w:right w:val="single" w:color="auto" w:sz="4" w:space="0"/>
            </w:tcBorders>
          </w:tcPr>
          <w:p w14:paraId="4FFB327B">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735" w:type="dxa"/>
            <w:tcBorders>
              <w:top w:val="single" w:color="auto" w:sz="4" w:space="0"/>
              <w:left w:val="single" w:color="auto" w:sz="4" w:space="0"/>
              <w:bottom w:val="single" w:color="auto" w:sz="4" w:space="0"/>
              <w:right w:val="single" w:color="auto" w:sz="4" w:space="0"/>
            </w:tcBorders>
          </w:tcPr>
          <w:p w14:paraId="76E67AB8">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735" w:type="dxa"/>
            <w:tcBorders>
              <w:top w:val="single" w:color="auto" w:sz="4" w:space="0"/>
              <w:left w:val="single" w:color="auto" w:sz="4" w:space="0"/>
              <w:bottom w:val="single" w:color="auto" w:sz="4" w:space="0"/>
              <w:right w:val="single" w:color="auto" w:sz="4" w:space="0"/>
            </w:tcBorders>
          </w:tcPr>
          <w:p w14:paraId="41A3BF74">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1155" w:type="dxa"/>
            <w:tcBorders>
              <w:top w:val="single" w:color="auto" w:sz="4" w:space="0"/>
              <w:left w:val="single" w:color="auto" w:sz="4" w:space="0"/>
              <w:bottom w:val="single" w:color="auto" w:sz="4" w:space="0"/>
              <w:right w:val="single" w:color="auto" w:sz="4" w:space="0"/>
            </w:tcBorders>
          </w:tcPr>
          <w:p w14:paraId="3113EF61">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735" w:type="dxa"/>
            <w:tcBorders>
              <w:top w:val="single" w:color="auto" w:sz="4" w:space="0"/>
              <w:left w:val="single" w:color="auto" w:sz="4" w:space="0"/>
              <w:bottom w:val="single" w:color="auto" w:sz="4" w:space="0"/>
              <w:right w:val="single" w:color="auto" w:sz="4" w:space="0"/>
            </w:tcBorders>
          </w:tcPr>
          <w:p w14:paraId="6A205A1F">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840" w:type="dxa"/>
            <w:tcBorders>
              <w:top w:val="single" w:color="auto" w:sz="4" w:space="0"/>
              <w:left w:val="single" w:color="auto" w:sz="4" w:space="0"/>
              <w:bottom w:val="single" w:color="auto" w:sz="4" w:space="0"/>
              <w:right w:val="single" w:color="auto" w:sz="4" w:space="0"/>
            </w:tcBorders>
          </w:tcPr>
          <w:p w14:paraId="7CBDB7A5">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1260" w:type="dxa"/>
            <w:tcBorders>
              <w:top w:val="single" w:color="auto" w:sz="4" w:space="0"/>
              <w:left w:val="single" w:color="auto" w:sz="4" w:space="0"/>
              <w:bottom w:val="single" w:color="auto" w:sz="4" w:space="0"/>
              <w:right w:val="single" w:color="auto" w:sz="4" w:space="0"/>
            </w:tcBorders>
          </w:tcPr>
          <w:p w14:paraId="60AB2DD7">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945" w:type="dxa"/>
            <w:tcBorders>
              <w:top w:val="single" w:color="auto" w:sz="4" w:space="0"/>
              <w:left w:val="single" w:color="auto" w:sz="4" w:space="0"/>
              <w:bottom w:val="single" w:color="auto" w:sz="4" w:space="0"/>
              <w:right w:val="single" w:color="auto" w:sz="4" w:space="0"/>
            </w:tcBorders>
          </w:tcPr>
          <w:p w14:paraId="08E41D4B">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1575" w:type="dxa"/>
            <w:tcBorders>
              <w:top w:val="single" w:color="auto" w:sz="4" w:space="0"/>
              <w:left w:val="single" w:color="auto" w:sz="4" w:space="0"/>
              <w:bottom w:val="single" w:color="auto" w:sz="4" w:space="0"/>
              <w:right w:val="single" w:color="auto" w:sz="4" w:space="0"/>
            </w:tcBorders>
          </w:tcPr>
          <w:p w14:paraId="6FE968B6">
            <w:pPr>
              <w:tabs>
                <w:tab w:val="left" w:pos="9765"/>
              </w:tabs>
              <w:spacing w:line="360" w:lineRule="auto"/>
              <w:rPr>
                <w:rFonts w:ascii="仿宋_GB2312" w:hAnsi="宋体" w:eastAsia="仿宋_GB2312"/>
                <w:szCs w:val="20"/>
              </w:rPr>
            </w:pPr>
            <w:r>
              <w:rPr>
                <w:rFonts w:hint="eastAsia" w:ascii="仿宋_GB2312" w:hAnsi="宋体" w:eastAsia="仿宋_GB2312"/>
              </w:rPr>
              <w:t> </w:t>
            </w:r>
          </w:p>
        </w:tc>
      </w:tr>
      <w:tr w14:paraId="7D886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tcPr>
          <w:p w14:paraId="50703DF8">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735" w:type="dxa"/>
            <w:tcBorders>
              <w:top w:val="single" w:color="auto" w:sz="4" w:space="0"/>
              <w:left w:val="single" w:color="auto" w:sz="4" w:space="0"/>
              <w:bottom w:val="single" w:color="auto" w:sz="4" w:space="0"/>
              <w:right w:val="single" w:color="auto" w:sz="4" w:space="0"/>
            </w:tcBorders>
          </w:tcPr>
          <w:p w14:paraId="7E20F5A0">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735" w:type="dxa"/>
            <w:tcBorders>
              <w:top w:val="single" w:color="auto" w:sz="4" w:space="0"/>
              <w:left w:val="single" w:color="auto" w:sz="4" w:space="0"/>
              <w:bottom w:val="single" w:color="auto" w:sz="4" w:space="0"/>
              <w:right w:val="single" w:color="auto" w:sz="4" w:space="0"/>
            </w:tcBorders>
          </w:tcPr>
          <w:p w14:paraId="4622B329">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735" w:type="dxa"/>
            <w:tcBorders>
              <w:top w:val="single" w:color="auto" w:sz="4" w:space="0"/>
              <w:left w:val="single" w:color="auto" w:sz="4" w:space="0"/>
              <w:bottom w:val="single" w:color="auto" w:sz="4" w:space="0"/>
              <w:right w:val="single" w:color="auto" w:sz="4" w:space="0"/>
            </w:tcBorders>
          </w:tcPr>
          <w:p w14:paraId="7CD8B113">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1155" w:type="dxa"/>
            <w:tcBorders>
              <w:top w:val="single" w:color="auto" w:sz="4" w:space="0"/>
              <w:left w:val="single" w:color="auto" w:sz="4" w:space="0"/>
              <w:bottom w:val="single" w:color="auto" w:sz="4" w:space="0"/>
              <w:right w:val="single" w:color="auto" w:sz="4" w:space="0"/>
            </w:tcBorders>
          </w:tcPr>
          <w:p w14:paraId="06A784AC">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735" w:type="dxa"/>
            <w:tcBorders>
              <w:top w:val="single" w:color="auto" w:sz="4" w:space="0"/>
              <w:left w:val="single" w:color="auto" w:sz="4" w:space="0"/>
              <w:bottom w:val="single" w:color="auto" w:sz="4" w:space="0"/>
              <w:right w:val="single" w:color="auto" w:sz="4" w:space="0"/>
            </w:tcBorders>
          </w:tcPr>
          <w:p w14:paraId="089C3237">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840" w:type="dxa"/>
            <w:tcBorders>
              <w:top w:val="single" w:color="auto" w:sz="4" w:space="0"/>
              <w:left w:val="single" w:color="auto" w:sz="4" w:space="0"/>
              <w:bottom w:val="single" w:color="auto" w:sz="4" w:space="0"/>
              <w:right w:val="single" w:color="auto" w:sz="4" w:space="0"/>
            </w:tcBorders>
          </w:tcPr>
          <w:p w14:paraId="179CF4FB">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1260" w:type="dxa"/>
            <w:tcBorders>
              <w:top w:val="single" w:color="auto" w:sz="4" w:space="0"/>
              <w:left w:val="single" w:color="auto" w:sz="4" w:space="0"/>
              <w:bottom w:val="single" w:color="auto" w:sz="4" w:space="0"/>
              <w:right w:val="single" w:color="auto" w:sz="4" w:space="0"/>
            </w:tcBorders>
          </w:tcPr>
          <w:p w14:paraId="373EE321">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945" w:type="dxa"/>
            <w:tcBorders>
              <w:top w:val="single" w:color="auto" w:sz="4" w:space="0"/>
              <w:left w:val="single" w:color="auto" w:sz="4" w:space="0"/>
              <w:bottom w:val="single" w:color="auto" w:sz="4" w:space="0"/>
              <w:right w:val="single" w:color="auto" w:sz="4" w:space="0"/>
            </w:tcBorders>
          </w:tcPr>
          <w:p w14:paraId="2B3A7A48">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1575" w:type="dxa"/>
            <w:tcBorders>
              <w:top w:val="single" w:color="auto" w:sz="4" w:space="0"/>
              <w:left w:val="single" w:color="auto" w:sz="4" w:space="0"/>
              <w:bottom w:val="single" w:color="auto" w:sz="4" w:space="0"/>
              <w:right w:val="single" w:color="auto" w:sz="4" w:space="0"/>
            </w:tcBorders>
          </w:tcPr>
          <w:p w14:paraId="40DCC109">
            <w:pPr>
              <w:tabs>
                <w:tab w:val="left" w:pos="9765"/>
              </w:tabs>
              <w:spacing w:line="360" w:lineRule="auto"/>
              <w:rPr>
                <w:rFonts w:ascii="仿宋_GB2312" w:hAnsi="宋体" w:eastAsia="仿宋_GB2312"/>
                <w:szCs w:val="20"/>
              </w:rPr>
            </w:pPr>
            <w:r>
              <w:rPr>
                <w:rFonts w:hint="eastAsia" w:ascii="仿宋_GB2312" w:hAnsi="宋体" w:eastAsia="仿宋_GB2312"/>
              </w:rPr>
              <w:t> </w:t>
            </w:r>
          </w:p>
        </w:tc>
      </w:tr>
      <w:tr w14:paraId="174B1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tcPr>
          <w:p w14:paraId="4B0849B0">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735" w:type="dxa"/>
            <w:tcBorders>
              <w:top w:val="single" w:color="auto" w:sz="4" w:space="0"/>
              <w:left w:val="single" w:color="auto" w:sz="4" w:space="0"/>
              <w:bottom w:val="single" w:color="auto" w:sz="4" w:space="0"/>
              <w:right w:val="single" w:color="auto" w:sz="4" w:space="0"/>
            </w:tcBorders>
          </w:tcPr>
          <w:p w14:paraId="1B4FBEFD">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735" w:type="dxa"/>
            <w:tcBorders>
              <w:top w:val="single" w:color="auto" w:sz="4" w:space="0"/>
              <w:left w:val="single" w:color="auto" w:sz="4" w:space="0"/>
              <w:bottom w:val="single" w:color="auto" w:sz="4" w:space="0"/>
              <w:right w:val="single" w:color="auto" w:sz="4" w:space="0"/>
            </w:tcBorders>
          </w:tcPr>
          <w:p w14:paraId="56F300D7">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735" w:type="dxa"/>
            <w:tcBorders>
              <w:top w:val="single" w:color="auto" w:sz="4" w:space="0"/>
              <w:left w:val="single" w:color="auto" w:sz="4" w:space="0"/>
              <w:bottom w:val="single" w:color="auto" w:sz="4" w:space="0"/>
              <w:right w:val="single" w:color="auto" w:sz="4" w:space="0"/>
            </w:tcBorders>
          </w:tcPr>
          <w:p w14:paraId="78D6F61A">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1155" w:type="dxa"/>
            <w:tcBorders>
              <w:top w:val="single" w:color="auto" w:sz="4" w:space="0"/>
              <w:left w:val="single" w:color="auto" w:sz="4" w:space="0"/>
              <w:bottom w:val="single" w:color="auto" w:sz="4" w:space="0"/>
              <w:right w:val="single" w:color="auto" w:sz="4" w:space="0"/>
            </w:tcBorders>
          </w:tcPr>
          <w:p w14:paraId="5ED0E327">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735" w:type="dxa"/>
            <w:tcBorders>
              <w:top w:val="single" w:color="auto" w:sz="4" w:space="0"/>
              <w:left w:val="single" w:color="auto" w:sz="4" w:space="0"/>
              <w:bottom w:val="single" w:color="auto" w:sz="4" w:space="0"/>
              <w:right w:val="single" w:color="auto" w:sz="4" w:space="0"/>
            </w:tcBorders>
          </w:tcPr>
          <w:p w14:paraId="5017C1B4">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840" w:type="dxa"/>
            <w:tcBorders>
              <w:top w:val="single" w:color="auto" w:sz="4" w:space="0"/>
              <w:left w:val="single" w:color="auto" w:sz="4" w:space="0"/>
              <w:bottom w:val="single" w:color="auto" w:sz="4" w:space="0"/>
              <w:right w:val="single" w:color="auto" w:sz="4" w:space="0"/>
            </w:tcBorders>
          </w:tcPr>
          <w:p w14:paraId="5897CD8B">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1260" w:type="dxa"/>
            <w:tcBorders>
              <w:top w:val="single" w:color="auto" w:sz="4" w:space="0"/>
              <w:left w:val="single" w:color="auto" w:sz="4" w:space="0"/>
              <w:bottom w:val="single" w:color="auto" w:sz="4" w:space="0"/>
              <w:right w:val="single" w:color="auto" w:sz="4" w:space="0"/>
            </w:tcBorders>
          </w:tcPr>
          <w:p w14:paraId="4D1D8D9C">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945" w:type="dxa"/>
            <w:tcBorders>
              <w:top w:val="single" w:color="auto" w:sz="4" w:space="0"/>
              <w:left w:val="single" w:color="auto" w:sz="4" w:space="0"/>
              <w:bottom w:val="single" w:color="auto" w:sz="4" w:space="0"/>
              <w:right w:val="single" w:color="auto" w:sz="4" w:space="0"/>
            </w:tcBorders>
          </w:tcPr>
          <w:p w14:paraId="673F6651">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1575" w:type="dxa"/>
            <w:tcBorders>
              <w:top w:val="single" w:color="auto" w:sz="4" w:space="0"/>
              <w:left w:val="single" w:color="auto" w:sz="4" w:space="0"/>
              <w:bottom w:val="single" w:color="auto" w:sz="4" w:space="0"/>
              <w:right w:val="single" w:color="auto" w:sz="4" w:space="0"/>
            </w:tcBorders>
          </w:tcPr>
          <w:p w14:paraId="29B6F1A6">
            <w:pPr>
              <w:tabs>
                <w:tab w:val="left" w:pos="9765"/>
              </w:tabs>
              <w:spacing w:line="360" w:lineRule="auto"/>
              <w:rPr>
                <w:rFonts w:ascii="仿宋_GB2312" w:hAnsi="宋体" w:eastAsia="仿宋_GB2312"/>
                <w:szCs w:val="20"/>
              </w:rPr>
            </w:pPr>
            <w:r>
              <w:rPr>
                <w:rFonts w:hint="eastAsia" w:ascii="仿宋_GB2312" w:hAnsi="宋体" w:eastAsia="仿宋_GB2312"/>
              </w:rPr>
              <w:t> </w:t>
            </w:r>
          </w:p>
        </w:tc>
      </w:tr>
      <w:tr w14:paraId="4D6BA4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tcPr>
          <w:p w14:paraId="034D4CEF">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735" w:type="dxa"/>
            <w:tcBorders>
              <w:top w:val="single" w:color="auto" w:sz="4" w:space="0"/>
              <w:left w:val="single" w:color="auto" w:sz="4" w:space="0"/>
              <w:bottom w:val="single" w:color="auto" w:sz="4" w:space="0"/>
              <w:right w:val="single" w:color="auto" w:sz="4" w:space="0"/>
            </w:tcBorders>
          </w:tcPr>
          <w:p w14:paraId="284A2BA4">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735" w:type="dxa"/>
            <w:tcBorders>
              <w:top w:val="single" w:color="auto" w:sz="4" w:space="0"/>
              <w:left w:val="single" w:color="auto" w:sz="4" w:space="0"/>
              <w:bottom w:val="single" w:color="auto" w:sz="4" w:space="0"/>
              <w:right w:val="single" w:color="auto" w:sz="4" w:space="0"/>
            </w:tcBorders>
          </w:tcPr>
          <w:p w14:paraId="78200C5D">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735" w:type="dxa"/>
            <w:tcBorders>
              <w:top w:val="single" w:color="auto" w:sz="4" w:space="0"/>
              <w:left w:val="single" w:color="auto" w:sz="4" w:space="0"/>
              <w:bottom w:val="single" w:color="auto" w:sz="4" w:space="0"/>
              <w:right w:val="single" w:color="auto" w:sz="4" w:space="0"/>
            </w:tcBorders>
          </w:tcPr>
          <w:p w14:paraId="1208ADFE">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1155" w:type="dxa"/>
            <w:tcBorders>
              <w:top w:val="single" w:color="auto" w:sz="4" w:space="0"/>
              <w:left w:val="single" w:color="auto" w:sz="4" w:space="0"/>
              <w:bottom w:val="single" w:color="auto" w:sz="4" w:space="0"/>
              <w:right w:val="single" w:color="auto" w:sz="4" w:space="0"/>
            </w:tcBorders>
          </w:tcPr>
          <w:p w14:paraId="4E1590A0">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735" w:type="dxa"/>
            <w:tcBorders>
              <w:top w:val="single" w:color="auto" w:sz="4" w:space="0"/>
              <w:left w:val="single" w:color="auto" w:sz="4" w:space="0"/>
              <w:bottom w:val="single" w:color="auto" w:sz="4" w:space="0"/>
              <w:right w:val="single" w:color="auto" w:sz="4" w:space="0"/>
            </w:tcBorders>
          </w:tcPr>
          <w:p w14:paraId="75BF9512">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840" w:type="dxa"/>
            <w:tcBorders>
              <w:top w:val="single" w:color="auto" w:sz="4" w:space="0"/>
              <w:left w:val="single" w:color="auto" w:sz="4" w:space="0"/>
              <w:bottom w:val="single" w:color="auto" w:sz="4" w:space="0"/>
              <w:right w:val="single" w:color="auto" w:sz="4" w:space="0"/>
            </w:tcBorders>
          </w:tcPr>
          <w:p w14:paraId="24B613A8">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1260" w:type="dxa"/>
            <w:tcBorders>
              <w:top w:val="single" w:color="auto" w:sz="4" w:space="0"/>
              <w:left w:val="single" w:color="auto" w:sz="4" w:space="0"/>
              <w:bottom w:val="single" w:color="auto" w:sz="4" w:space="0"/>
              <w:right w:val="single" w:color="auto" w:sz="4" w:space="0"/>
            </w:tcBorders>
          </w:tcPr>
          <w:p w14:paraId="48117E80">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945" w:type="dxa"/>
            <w:tcBorders>
              <w:top w:val="single" w:color="auto" w:sz="4" w:space="0"/>
              <w:left w:val="single" w:color="auto" w:sz="4" w:space="0"/>
              <w:bottom w:val="single" w:color="auto" w:sz="4" w:space="0"/>
              <w:right w:val="single" w:color="auto" w:sz="4" w:space="0"/>
            </w:tcBorders>
          </w:tcPr>
          <w:p w14:paraId="66AEFA25">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1575" w:type="dxa"/>
            <w:tcBorders>
              <w:top w:val="single" w:color="auto" w:sz="4" w:space="0"/>
              <w:left w:val="single" w:color="auto" w:sz="4" w:space="0"/>
              <w:bottom w:val="single" w:color="auto" w:sz="4" w:space="0"/>
              <w:right w:val="single" w:color="auto" w:sz="4" w:space="0"/>
            </w:tcBorders>
          </w:tcPr>
          <w:p w14:paraId="1C97F97C">
            <w:pPr>
              <w:tabs>
                <w:tab w:val="left" w:pos="9765"/>
              </w:tabs>
              <w:spacing w:line="360" w:lineRule="auto"/>
              <w:rPr>
                <w:rFonts w:ascii="仿宋_GB2312" w:hAnsi="宋体" w:eastAsia="仿宋_GB2312"/>
                <w:szCs w:val="20"/>
              </w:rPr>
            </w:pPr>
            <w:r>
              <w:rPr>
                <w:rFonts w:hint="eastAsia" w:ascii="仿宋_GB2312" w:hAnsi="宋体" w:eastAsia="仿宋_GB2312"/>
              </w:rPr>
              <w:t> </w:t>
            </w:r>
          </w:p>
        </w:tc>
      </w:tr>
      <w:tr w14:paraId="2EA1C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tcPr>
          <w:p w14:paraId="55CF8DE7">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735" w:type="dxa"/>
            <w:tcBorders>
              <w:top w:val="single" w:color="auto" w:sz="4" w:space="0"/>
              <w:left w:val="single" w:color="auto" w:sz="4" w:space="0"/>
              <w:bottom w:val="single" w:color="auto" w:sz="4" w:space="0"/>
              <w:right w:val="single" w:color="auto" w:sz="4" w:space="0"/>
            </w:tcBorders>
          </w:tcPr>
          <w:p w14:paraId="0090BCF3">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735" w:type="dxa"/>
            <w:tcBorders>
              <w:top w:val="single" w:color="auto" w:sz="4" w:space="0"/>
              <w:left w:val="single" w:color="auto" w:sz="4" w:space="0"/>
              <w:bottom w:val="single" w:color="auto" w:sz="4" w:space="0"/>
              <w:right w:val="single" w:color="auto" w:sz="4" w:space="0"/>
            </w:tcBorders>
          </w:tcPr>
          <w:p w14:paraId="7A721BDE">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735" w:type="dxa"/>
            <w:tcBorders>
              <w:top w:val="single" w:color="auto" w:sz="4" w:space="0"/>
              <w:left w:val="single" w:color="auto" w:sz="4" w:space="0"/>
              <w:bottom w:val="single" w:color="auto" w:sz="4" w:space="0"/>
              <w:right w:val="single" w:color="auto" w:sz="4" w:space="0"/>
            </w:tcBorders>
          </w:tcPr>
          <w:p w14:paraId="41FC94EC">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1155" w:type="dxa"/>
            <w:tcBorders>
              <w:top w:val="single" w:color="auto" w:sz="4" w:space="0"/>
              <w:left w:val="single" w:color="auto" w:sz="4" w:space="0"/>
              <w:bottom w:val="single" w:color="auto" w:sz="4" w:space="0"/>
              <w:right w:val="single" w:color="auto" w:sz="4" w:space="0"/>
            </w:tcBorders>
          </w:tcPr>
          <w:p w14:paraId="2C151B07">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735" w:type="dxa"/>
            <w:tcBorders>
              <w:top w:val="single" w:color="auto" w:sz="4" w:space="0"/>
              <w:left w:val="single" w:color="auto" w:sz="4" w:space="0"/>
              <w:bottom w:val="single" w:color="auto" w:sz="4" w:space="0"/>
              <w:right w:val="single" w:color="auto" w:sz="4" w:space="0"/>
            </w:tcBorders>
          </w:tcPr>
          <w:p w14:paraId="4748E31D">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840" w:type="dxa"/>
            <w:tcBorders>
              <w:top w:val="single" w:color="auto" w:sz="4" w:space="0"/>
              <w:left w:val="single" w:color="auto" w:sz="4" w:space="0"/>
              <w:bottom w:val="single" w:color="auto" w:sz="4" w:space="0"/>
              <w:right w:val="single" w:color="auto" w:sz="4" w:space="0"/>
            </w:tcBorders>
          </w:tcPr>
          <w:p w14:paraId="1ABA0E2A">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1260" w:type="dxa"/>
            <w:tcBorders>
              <w:top w:val="single" w:color="auto" w:sz="4" w:space="0"/>
              <w:left w:val="single" w:color="auto" w:sz="4" w:space="0"/>
              <w:bottom w:val="single" w:color="auto" w:sz="4" w:space="0"/>
              <w:right w:val="single" w:color="auto" w:sz="4" w:space="0"/>
            </w:tcBorders>
          </w:tcPr>
          <w:p w14:paraId="092B2AA4">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945" w:type="dxa"/>
            <w:tcBorders>
              <w:top w:val="single" w:color="auto" w:sz="4" w:space="0"/>
              <w:left w:val="single" w:color="auto" w:sz="4" w:space="0"/>
              <w:bottom w:val="single" w:color="auto" w:sz="4" w:space="0"/>
              <w:right w:val="single" w:color="auto" w:sz="4" w:space="0"/>
            </w:tcBorders>
          </w:tcPr>
          <w:p w14:paraId="6F6CD2DD">
            <w:pPr>
              <w:tabs>
                <w:tab w:val="left" w:pos="9765"/>
              </w:tabs>
              <w:spacing w:line="360" w:lineRule="auto"/>
              <w:rPr>
                <w:rFonts w:ascii="仿宋_GB2312" w:hAnsi="宋体" w:eastAsia="仿宋_GB2312"/>
                <w:szCs w:val="20"/>
              </w:rPr>
            </w:pPr>
            <w:r>
              <w:rPr>
                <w:rFonts w:hint="eastAsia" w:ascii="仿宋_GB2312" w:hAnsi="宋体" w:eastAsia="仿宋_GB2312"/>
              </w:rPr>
              <w:t> </w:t>
            </w:r>
          </w:p>
        </w:tc>
        <w:tc>
          <w:tcPr>
            <w:tcW w:w="1575" w:type="dxa"/>
            <w:tcBorders>
              <w:top w:val="single" w:color="auto" w:sz="4" w:space="0"/>
              <w:left w:val="single" w:color="auto" w:sz="4" w:space="0"/>
              <w:bottom w:val="single" w:color="auto" w:sz="4" w:space="0"/>
              <w:right w:val="single" w:color="auto" w:sz="4" w:space="0"/>
            </w:tcBorders>
          </w:tcPr>
          <w:p w14:paraId="061184FC">
            <w:pPr>
              <w:tabs>
                <w:tab w:val="left" w:pos="9765"/>
              </w:tabs>
              <w:spacing w:line="360" w:lineRule="auto"/>
              <w:rPr>
                <w:rFonts w:ascii="仿宋_GB2312" w:hAnsi="宋体" w:eastAsia="仿宋_GB2312"/>
                <w:szCs w:val="20"/>
              </w:rPr>
            </w:pPr>
            <w:r>
              <w:rPr>
                <w:rFonts w:hint="eastAsia" w:ascii="仿宋_GB2312" w:hAnsi="宋体" w:eastAsia="仿宋_GB2312"/>
              </w:rPr>
              <w:t> </w:t>
            </w:r>
          </w:p>
        </w:tc>
      </w:tr>
    </w:tbl>
    <w:p w14:paraId="357D963F">
      <w:pPr>
        <w:snapToGrid w:val="0"/>
        <w:spacing w:line="360" w:lineRule="auto"/>
        <w:rPr>
          <w:rFonts w:ascii="仿宋_GB2312" w:hAnsi="宋体" w:eastAsia="仿宋_GB2312"/>
          <w:b/>
          <w:szCs w:val="28"/>
        </w:rPr>
      </w:pPr>
      <w:r>
        <w:rPr>
          <w:rFonts w:hint="eastAsia" w:ascii="仿宋_GB2312" w:hAnsi="宋体" w:eastAsia="仿宋_GB2312"/>
          <w:b/>
          <w:szCs w:val="28"/>
        </w:rPr>
        <w:t>注：</w:t>
      </w:r>
      <w:r>
        <w:rPr>
          <w:rFonts w:hint="eastAsia" w:ascii="仿宋_GB2312" w:eastAsia="仿宋_GB2312"/>
          <w:sz w:val="24"/>
        </w:rPr>
        <w:t>参加本项目人员须是投标单位正式职工</w:t>
      </w:r>
    </w:p>
    <w:p w14:paraId="0715C21A">
      <w:pPr>
        <w:rPr>
          <w:rFonts w:ascii="仿宋_GB2312" w:hAnsi="宋体" w:eastAsia="仿宋_GB2312"/>
          <w:b/>
          <w:sz w:val="28"/>
          <w:szCs w:val="28"/>
        </w:rPr>
      </w:pPr>
    </w:p>
    <w:p w14:paraId="65DD30B6">
      <w:pPr>
        <w:rPr>
          <w:rFonts w:ascii="仿宋_GB2312" w:hAnsi="宋体" w:eastAsia="仿宋_GB2312"/>
          <w:b/>
          <w:sz w:val="28"/>
          <w:szCs w:val="28"/>
        </w:rPr>
      </w:pPr>
    </w:p>
    <w:p w14:paraId="7E51AD7C">
      <w:pPr>
        <w:rPr>
          <w:rFonts w:ascii="仿宋_GB2312" w:hAnsi="宋体" w:eastAsia="仿宋_GB2312"/>
          <w:b/>
          <w:sz w:val="28"/>
          <w:szCs w:val="28"/>
        </w:rPr>
      </w:pPr>
    </w:p>
    <w:p w14:paraId="701CB916">
      <w:pPr>
        <w:snapToGrid w:val="0"/>
        <w:spacing w:line="360" w:lineRule="auto"/>
        <w:rPr>
          <w:rFonts w:ascii="仿宋_GB2312" w:eastAsia="仿宋_GB2312"/>
          <w:sz w:val="24"/>
        </w:rPr>
      </w:pPr>
    </w:p>
    <w:p w14:paraId="7288A22C">
      <w:pPr>
        <w:snapToGrid w:val="0"/>
        <w:spacing w:line="360" w:lineRule="auto"/>
        <w:rPr>
          <w:rFonts w:ascii="仿宋_GB2312" w:eastAsia="仿宋_GB2312"/>
          <w:sz w:val="24"/>
        </w:rPr>
      </w:pPr>
    </w:p>
    <w:p w14:paraId="72DC866A">
      <w:pPr>
        <w:snapToGrid w:val="0"/>
        <w:spacing w:line="360" w:lineRule="auto"/>
        <w:rPr>
          <w:rFonts w:ascii="仿宋_GB2312" w:eastAsia="仿宋_GB2312"/>
          <w:sz w:val="24"/>
        </w:rPr>
      </w:pPr>
    </w:p>
    <w:p w14:paraId="1AAD7EBF">
      <w:pPr>
        <w:snapToGrid w:val="0"/>
        <w:spacing w:line="360" w:lineRule="auto"/>
        <w:rPr>
          <w:rFonts w:ascii="仿宋_GB2312" w:eastAsia="仿宋_GB2312"/>
          <w:sz w:val="24"/>
        </w:rPr>
      </w:pPr>
    </w:p>
    <w:p w14:paraId="2EC57F4E">
      <w:pPr>
        <w:snapToGrid w:val="0"/>
        <w:rPr>
          <w:rFonts w:ascii="仿宋_GB2312" w:eastAsia="仿宋_GB2312"/>
          <w:b/>
          <w:sz w:val="28"/>
          <w:szCs w:val="28"/>
        </w:rPr>
      </w:pPr>
      <w:r>
        <w:rPr>
          <w:rFonts w:hint="eastAsia" w:ascii="仿宋_GB2312" w:eastAsia="仿宋_GB2312"/>
          <w:b/>
          <w:sz w:val="28"/>
          <w:szCs w:val="28"/>
        </w:rPr>
        <w:t>附件三：</w:t>
      </w:r>
    </w:p>
    <w:p w14:paraId="12657AF2">
      <w:pPr>
        <w:ind w:firstLine="562" w:firstLineChars="200"/>
        <w:jc w:val="center"/>
        <w:rPr>
          <w:rFonts w:ascii="仿宋_GB2312" w:hAnsi="宋体" w:eastAsia="仿宋_GB2312"/>
          <w:b/>
          <w:bCs/>
          <w:sz w:val="28"/>
          <w:szCs w:val="28"/>
        </w:rPr>
      </w:pPr>
      <w:r>
        <w:rPr>
          <w:rFonts w:hint="eastAsia" w:ascii="仿宋_GB2312" w:hAnsi="宋体" w:eastAsia="仿宋_GB2312"/>
          <w:b/>
          <w:bCs/>
          <w:sz w:val="28"/>
          <w:szCs w:val="28"/>
        </w:rPr>
        <w:t>售后服务承诺</w:t>
      </w:r>
    </w:p>
    <w:p w14:paraId="11960528">
      <w:pPr>
        <w:ind w:firstLine="562" w:firstLineChars="200"/>
        <w:jc w:val="center"/>
        <w:rPr>
          <w:rFonts w:ascii="仿宋_GB2312" w:hAnsi="宋体" w:eastAsia="仿宋_GB2312"/>
          <w:b/>
          <w:bCs/>
          <w:sz w:val="28"/>
          <w:szCs w:val="28"/>
        </w:rPr>
      </w:pPr>
    </w:p>
    <w:p w14:paraId="1A8C180C">
      <w:pPr>
        <w:ind w:firstLine="560" w:firstLineChars="200"/>
        <w:rPr>
          <w:rFonts w:ascii="仿宋_GB2312" w:hAnsi="宋体" w:eastAsia="仿宋_GB2312"/>
          <w:sz w:val="28"/>
          <w:szCs w:val="28"/>
        </w:rPr>
      </w:pPr>
      <w:r>
        <w:rPr>
          <w:rFonts w:hint="eastAsia" w:ascii="仿宋_GB2312" w:hAnsi="宋体" w:eastAsia="仿宋_GB2312"/>
          <w:sz w:val="28"/>
          <w:szCs w:val="28"/>
        </w:rPr>
        <w:t>我公司就“常天政采竞[2015]24号服务承诺如下：</w:t>
      </w:r>
    </w:p>
    <w:p w14:paraId="159C94AD">
      <w:pPr>
        <w:ind w:firstLine="560" w:firstLineChars="200"/>
        <w:rPr>
          <w:rFonts w:ascii="仿宋_GB2312" w:hAnsi="宋体" w:eastAsia="仿宋_GB2312"/>
          <w:sz w:val="28"/>
          <w:szCs w:val="28"/>
        </w:rPr>
      </w:pPr>
    </w:p>
    <w:p w14:paraId="36E927A1">
      <w:pPr>
        <w:ind w:firstLine="560" w:firstLineChars="200"/>
        <w:rPr>
          <w:rFonts w:ascii="仿宋_GB2312" w:hAnsi="宋体" w:eastAsia="仿宋_GB2312"/>
          <w:sz w:val="28"/>
          <w:szCs w:val="28"/>
        </w:rPr>
      </w:pPr>
    </w:p>
    <w:p w14:paraId="18C8BF4A">
      <w:pPr>
        <w:ind w:firstLine="562" w:firstLineChars="200"/>
        <w:rPr>
          <w:rFonts w:ascii="仿宋_GB2312" w:hAnsi="宋体" w:eastAsia="仿宋_GB2312"/>
          <w:b/>
          <w:bCs/>
          <w:sz w:val="28"/>
          <w:szCs w:val="28"/>
        </w:rPr>
      </w:pPr>
    </w:p>
    <w:p w14:paraId="60FCF44E">
      <w:pPr>
        <w:ind w:firstLine="560" w:firstLineChars="200"/>
        <w:jc w:val="center"/>
        <w:rPr>
          <w:rFonts w:ascii="仿宋_GB2312" w:hAnsi="宋体" w:eastAsia="仿宋_GB2312"/>
          <w:sz w:val="28"/>
          <w:szCs w:val="28"/>
        </w:rPr>
      </w:pPr>
    </w:p>
    <w:p w14:paraId="36605F6C">
      <w:pPr>
        <w:ind w:firstLine="560" w:firstLineChars="200"/>
        <w:jc w:val="center"/>
        <w:rPr>
          <w:rFonts w:ascii="仿宋_GB2312" w:hAnsi="宋体" w:eastAsia="仿宋_GB2312"/>
          <w:sz w:val="28"/>
          <w:szCs w:val="28"/>
        </w:rPr>
      </w:pPr>
    </w:p>
    <w:p w14:paraId="4582C999">
      <w:pPr>
        <w:ind w:firstLine="560" w:firstLineChars="200"/>
        <w:jc w:val="center"/>
        <w:rPr>
          <w:rFonts w:ascii="仿宋_GB2312" w:hAnsi="宋体" w:eastAsia="仿宋_GB2312"/>
          <w:sz w:val="28"/>
          <w:szCs w:val="28"/>
        </w:rPr>
      </w:pPr>
    </w:p>
    <w:p w14:paraId="0510C472">
      <w:pPr>
        <w:ind w:firstLine="560" w:firstLineChars="200"/>
        <w:jc w:val="center"/>
        <w:rPr>
          <w:rFonts w:ascii="仿宋_GB2312" w:hAnsi="宋体" w:eastAsia="仿宋_GB2312"/>
          <w:sz w:val="28"/>
          <w:szCs w:val="28"/>
        </w:rPr>
      </w:pPr>
    </w:p>
    <w:p w14:paraId="6BFBE28D">
      <w:pPr>
        <w:ind w:firstLine="562" w:firstLineChars="200"/>
        <w:rPr>
          <w:rFonts w:ascii="仿宋_GB2312" w:hAnsi="宋体" w:eastAsia="仿宋_GB2312"/>
          <w:b/>
          <w:bCs/>
          <w:sz w:val="28"/>
          <w:szCs w:val="28"/>
        </w:rPr>
      </w:pPr>
    </w:p>
    <w:p w14:paraId="23EAF7D7">
      <w:pPr>
        <w:ind w:firstLine="562" w:firstLineChars="200"/>
        <w:rPr>
          <w:rFonts w:ascii="仿宋_GB2312" w:hAnsi="宋体" w:eastAsia="仿宋_GB2312"/>
          <w:b/>
          <w:bCs/>
          <w:sz w:val="28"/>
          <w:szCs w:val="28"/>
        </w:rPr>
      </w:pPr>
    </w:p>
    <w:p w14:paraId="5362EBCA">
      <w:pPr>
        <w:ind w:firstLine="562" w:firstLineChars="200"/>
        <w:rPr>
          <w:rFonts w:ascii="仿宋_GB2312" w:hAnsi="宋体" w:eastAsia="仿宋_GB2312"/>
          <w:b/>
          <w:bCs/>
          <w:sz w:val="28"/>
          <w:szCs w:val="28"/>
        </w:rPr>
      </w:pPr>
    </w:p>
    <w:p w14:paraId="330C9B93">
      <w:pPr>
        <w:ind w:firstLine="562" w:firstLineChars="200"/>
        <w:rPr>
          <w:rFonts w:ascii="仿宋_GB2312" w:hAnsi="宋体" w:eastAsia="仿宋_GB2312"/>
          <w:b/>
          <w:bCs/>
          <w:sz w:val="28"/>
          <w:szCs w:val="28"/>
        </w:rPr>
      </w:pPr>
    </w:p>
    <w:p w14:paraId="0FAEA181">
      <w:pPr>
        <w:ind w:firstLine="562" w:firstLineChars="200"/>
        <w:rPr>
          <w:rFonts w:ascii="仿宋_GB2312" w:hAnsi="宋体" w:eastAsia="仿宋_GB2312"/>
          <w:b/>
          <w:bCs/>
          <w:sz w:val="28"/>
          <w:szCs w:val="28"/>
        </w:rPr>
      </w:pPr>
    </w:p>
    <w:p w14:paraId="5A1B1D4F">
      <w:pPr>
        <w:ind w:firstLine="562" w:firstLineChars="200"/>
        <w:rPr>
          <w:rFonts w:ascii="仿宋_GB2312" w:hAnsi="宋体" w:eastAsia="仿宋_GB2312"/>
          <w:b/>
          <w:bCs/>
          <w:sz w:val="28"/>
          <w:szCs w:val="28"/>
        </w:rPr>
      </w:pPr>
    </w:p>
    <w:p w14:paraId="4EAA2FFC">
      <w:pPr>
        <w:ind w:firstLine="560" w:firstLineChars="200"/>
        <w:jc w:val="center"/>
        <w:rPr>
          <w:rFonts w:ascii="仿宋_GB2312" w:hAnsi="宋体" w:eastAsia="仿宋_GB2312"/>
          <w:sz w:val="28"/>
          <w:szCs w:val="28"/>
        </w:rPr>
      </w:pPr>
      <w:r>
        <w:rPr>
          <w:rFonts w:hint="eastAsia" w:ascii="仿宋_GB2312" w:hAnsi="宋体" w:eastAsia="仿宋_GB2312"/>
          <w:sz w:val="28"/>
          <w:szCs w:val="28"/>
        </w:rPr>
        <w:t>投标单位：（章）</w:t>
      </w:r>
    </w:p>
    <w:p w14:paraId="2A9B9793">
      <w:pPr>
        <w:pStyle w:val="16"/>
        <w:jc w:val="center"/>
        <w:rPr>
          <w:rFonts w:ascii="仿宋_GB2312" w:hAnsi="宋体" w:eastAsia="仿宋_GB2312"/>
          <w:bCs/>
          <w:sz w:val="28"/>
          <w:szCs w:val="28"/>
        </w:rPr>
      </w:pPr>
      <w:r>
        <w:rPr>
          <w:rFonts w:hint="eastAsia" w:ascii="仿宋_GB2312" w:hAnsi="宋体" w:eastAsia="仿宋_GB2312"/>
          <w:bCs/>
          <w:sz w:val="28"/>
          <w:szCs w:val="28"/>
        </w:rPr>
        <w:t>法定代表人：（签字）</w:t>
      </w:r>
    </w:p>
    <w:p w14:paraId="7C273153">
      <w:pPr>
        <w:ind w:firstLine="560" w:firstLineChars="200"/>
        <w:jc w:val="center"/>
        <w:rPr>
          <w:rFonts w:ascii="仿宋_GB2312" w:hAnsi="宋体" w:eastAsia="仿宋_GB2312"/>
          <w:sz w:val="28"/>
          <w:szCs w:val="28"/>
        </w:rPr>
      </w:pPr>
      <w:r>
        <w:rPr>
          <w:rFonts w:hint="eastAsia" w:ascii="仿宋_GB2312" w:hAnsi="宋体" w:eastAsia="仿宋_GB2312"/>
          <w:sz w:val="28"/>
          <w:szCs w:val="28"/>
        </w:rPr>
        <w:t>日    期：</w:t>
      </w:r>
    </w:p>
    <w:p w14:paraId="1933F16D">
      <w:pPr>
        <w:snapToGrid w:val="0"/>
        <w:rPr>
          <w:rFonts w:ascii="仿宋_GB2312" w:eastAsia="仿宋_GB2312"/>
          <w:b/>
          <w:sz w:val="28"/>
          <w:szCs w:val="28"/>
        </w:rPr>
      </w:pPr>
    </w:p>
    <w:p w14:paraId="74D84BE0">
      <w:pPr>
        <w:snapToGrid w:val="0"/>
        <w:rPr>
          <w:rFonts w:ascii="仿宋_GB2312" w:eastAsia="仿宋_GB2312"/>
          <w:b/>
          <w:sz w:val="28"/>
          <w:szCs w:val="28"/>
        </w:rPr>
      </w:pPr>
    </w:p>
    <w:p w14:paraId="3DE8C160">
      <w:pPr>
        <w:snapToGrid w:val="0"/>
        <w:rPr>
          <w:rFonts w:ascii="仿宋_GB2312" w:eastAsia="仿宋_GB2312"/>
          <w:b/>
          <w:sz w:val="28"/>
          <w:szCs w:val="28"/>
        </w:rPr>
      </w:pPr>
    </w:p>
    <w:p w14:paraId="5A3FF005">
      <w:pPr>
        <w:snapToGrid w:val="0"/>
        <w:rPr>
          <w:rFonts w:ascii="仿宋_GB2312" w:eastAsia="仿宋_GB2312"/>
          <w:b/>
          <w:sz w:val="28"/>
          <w:szCs w:val="28"/>
        </w:rPr>
      </w:pPr>
    </w:p>
    <w:p w14:paraId="5DB62994">
      <w:pPr>
        <w:snapToGrid w:val="0"/>
        <w:rPr>
          <w:rFonts w:ascii="仿宋_GB2312" w:eastAsia="仿宋_GB2312"/>
          <w:b/>
          <w:sz w:val="28"/>
          <w:szCs w:val="28"/>
        </w:rPr>
      </w:pPr>
      <w:r>
        <w:rPr>
          <w:rFonts w:hint="eastAsia" w:ascii="仿宋_GB2312" w:eastAsia="仿宋_GB2312"/>
          <w:b/>
          <w:sz w:val="28"/>
          <w:szCs w:val="28"/>
        </w:rPr>
        <w:t>附件四：</w:t>
      </w:r>
    </w:p>
    <w:p w14:paraId="68892F32">
      <w:pPr>
        <w:snapToGrid w:val="0"/>
        <w:jc w:val="center"/>
        <w:rPr>
          <w:rFonts w:ascii="仿宋_GB2312" w:eastAsia="仿宋_GB2312"/>
          <w:b/>
          <w:sz w:val="28"/>
          <w:szCs w:val="28"/>
        </w:rPr>
      </w:pPr>
      <w:r>
        <w:rPr>
          <w:rFonts w:hint="eastAsia" w:ascii="仿宋_GB2312" w:eastAsia="仿宋_GB2312"/>
          <w:b/>
          <w:sz w:val="28"/>
          <w:szCs w:val="28"/>
        </w:rPr>
        <w:t>合同样本</w:t>
      </w:r>
    </w:p>
    <w:p w14:paraId="0322AEA5">
      <w:pPr>
        <w:snapToGrid w:val="0"/>
        <w:jc w:val="center"/>
        <w:rPr>
          <w:rFonts w:ascii="仿宋_GB2312" w:eastAsia="仿宋_GB2312"/>
          <w:b/>
          <w:sz w:val="28"/>
          <w:szCs w:val="28"/>
        </w:rPr>
      </w:pPr>
    </w:p>
    <w:p w14:paraId="3A4C80DC">
      <w:pPr>
        <w:adjustRightInd w:val="0"/>
        <w:snapToGrid w:val="0"/>
        <w:spacing w:line="336" w:lineRule="auto"/>
        <w:rPr>
          <w:rFonts w:ascii="楷体_GB2312" w:hAnsi="宋体" w:eastAsia="楷体_GB2312"/>
          <w:sz w:val="24"/>
          <w:u w:val="single"/>
        </w:rPr>
      </w:pPr>
      <w:r>
        <w:rPr>
          <w:rFonts w:hint="eastAsia" w:ascii="楷体_GB2312" w:hAnsi="宋体" w:eastAsia="楷体_GB2312"/>
          <w:sz w:val="24"/>
        </w:rPr>
        <w:t>甲方：签订地点：</w:t>
      </w:r>
    </w:p>
    <w:p w14:paraId="77094608">
      <w:pPr>
        <w:adjustRightInd w:val="0"/>
        <w:snapToGrid w:val="0"/>
        <w:spacing w:line="336" w:lineRule="auto"/>
        <w:rPr>
          <w:rFonts w:ascii="楷体_GB2312" w:hAnsi="宋体" w:eastAsia="楷体_GB2312"/>
          <w:sz w:val="24"/>
        </w:rPr>
      </w:pPr>
      <w:r>
        <w:rPr>
          <w:rFonts w:hint="eastAsia" w:ascii="楷体_GB2312" w:hAnsi="宋体" w:eastAsia="楷体_GB2312"/>
          <w:sz w:val="24"/>
        </w:rPr>
        <w:t>乙方：签订时间：年月日</w:t>
      </w:r>
    </w:p>
    <w:p w14:paraId="4C8DE0D7">
      <w:pPr>
        <w:snapToGrid w:val="0"/>
        <w:spacing w:line="300" w:lineRule="auto"/>
        <w:rPr>
          <w:rFonts w:ascii="楷体_GB2312" w:hAnsi="宋体" w:eastAsia="楷体_GB2312"/>
          <w:sz w:val="24"/>
          <w:u w:val="single"/>
        </w:rPr>
      </w:pPr>
      <w:r>
        <w:rPr>
          <w:rFonts w:hint="eastAsia" w:ascii="楷体_GB2312" w:hAnsi="宋体" w:eastAsia="楷体_GB2312"/>
          <w:sz w:val="24"/>
        </w:rPr>
        <w:t>集中采购机构：</w:t>
      </w:r>
      <w:r>
        <w:rPr>
          <w:rFonts w:hint="eastAsia" w:ascii="楷体_GB2312" w:hAnsi="宋体" w:eastAsia="楷体_GB2312"/>
          <w:sz w:val="24"/>
          <w:u w:val="single"/>
        </w:rPr>
        <w:t xml:space="preserve"> 常州市天宁区政府采购中心 </w:t>
      </w:r>
    </w:p>
    <w:p w14:paraId="7CDAD6B4">
      <w:pPr>
        <w:spacing w:line="360" w:lineRule="auto"/>
        <w:ind w:firstLine="435"/>
        <w:rPr>
          <w:rFonts w:ascii="楷体_GB2312" w:hAnsi="宋体" w:eastAsia="楷体_GB2312"/>
          <w:b/>
          <w:sz w:val="24"/>
        </w:rPr>
      </w:pPr>
      <w:r>
        <w:rPr>
          <w:rFonts w:hint="eastAsia" w:ascii="楷体_GB2312" w:eastAsia="楷体_GB2312"/>
          <w:sz w:val="24"/>
        </w:rPr>
        <w:t xml:space="preserve">根据常州市天宁区政府采购中心  </w:t>
      </w:r>
      <w:r>
        <w:rPr>
          <w:rFonts w:hint="eastAsia" w:ascii="楷体_GB2312" w:hAnsi="宋体" w:eastAsia="楷体_GB2312"/>
          <w:sz w:val="24"/>
        </w:rPr>
        <w:t>年  月  日进行</w:t>
      </w:r>
      <w:r>
        <w:rPr>
          <w:rFonts w:hint="eastAsia" w:ascii="楷体_GB2312" w:eastAsia="楷体_GB2312"/>
          <w:sz w:val="24"/>
        </w:rPr>
        <w:t>的常天政采竞【2015】号招标，甲、乙、集中采购机构三方就乙方中标的</w:t>
      </w:r>
      <w:r>
        <w:rPr>
          <w:rFonts w:hint="eastAsia" w:ascii="楷体_GB2312" w:hAnsi="宋体" w:eastAsia="楷体_GB2312"/>
          <w:sz w:val="24"/>
        </w:rPr>
        <w:t>项目</w:t>
      </w:r>
      <w:r>
        <w:rPr>
          <w:rFonts w:hint="eastAsia" w:ascii="楷体_GB2312" w:hAnsi="黑体" w:eastAsia="楷体_GB2312"/>
          <w:bCs/>
          <w:sz w:val="24"/>
        </w:rPr>
        <w:t>，</w:t>
      </w:r>
      <w:r>
        <w:rPr>
          <w:rFonts w:hint="eastAsia" w:ascii="楷体_GB2312" w:eastAsia="楷体_GB2312"/>
          <w:sz w:val="24"/>
        </w:rPr>
        <w:t>本着平等互利的原则，通过共同协商，根据</w:t>
      </w:r>
      <w:r>
        <w:rPr>
          <w:rFonts w:hint="eastAsia" w:ascii="楷体_GB2312" w:hAnsi="宋体" w:eastAsia="楷体_GB2312"/>
          <w:bCs/>
          <w:sz w:val="24"/>
        </w:rPr>
        <w:t>《中华人民共和国政府采购法》、《中华人民共和国合同法》</w:t>
      </w:r>
      <w:r>
        <w:rPr>
          <w:rFonts w:hint="eastAsia" w:ascii="楷体_GB2312" w:eastAsia="楷体_GB2312"/>
          <w:sz w:val="24"/>
        </w:rPr>
        <w:t>及有关法律法规，就相关事宜达成如下合同。</w:t>
      </w:r>
    </w:p>
    <w:p w14:paraId="298C0E91">
      <w:pPr>
        <w:snapToGrid w:val="0"/>
        <w:spacing w:line="300" w:lineRule="auto"/>
        <w:ind w:firstLine="482" w:firstLineChars="200"/>
        <w:jc w:val="left"/>
        <w:rPr>
          <w:rFonts w:ascii="楷体_GB2312" w:hAnsi="宋体" w:eastAsia="楷体_GB2312"/>
          <w:b/>
          <w:sz w:val="24"/>
        </w:rPr>
      </w:pPr>
      <w:r>
        <w:rPr>
          <w:rFonts w:hint="eastAsia" w:ascii="楷体_GB2312" w:hAnsi="宋体" w:eastAsia="楷体_GB2312"/>
          <w:b/>
          <w:sz w:val="24"/>
        </w:rPr>
        <w:t xml:space="preserve">一、总则             </w:t>
      </w:r>
    </w:p>
    <w:p w14:paraId="65714D77">
      <w:pPr>
        <w:adjustRightInd w:val="0"/>
        <w:snapToGrid w:val="0"/>
        <w:spacing w:line="360" w:lineRule="auto"/>
        <w:ind w:firstLine="480" w:firstLineChars="200"/>
        <w:jc w:val="left"/>
        <w:rPr>
          <w:rFonts w:ascii="楷体_GB2312" w:hAnsi="宋体" w:eastAsia="楷体_GB2312"/>
          <w:sz w:val="24"/>
        </w:rPr>
      </w:pPr>
      <w:r>
        <w:rPr>
          <w:rFonts w:hint="eastAsia" w:ascii="楷体_GB2312" w:hAnsi="宋体" w:eastAsia="楷体_GB2312"/>
          <w:sz w:val="24"/>
        </w:rPr>
        <w:t>乙方按甲方要求，为甲方提供的项目具体服务内容见下表（单位：万元）：</w:t>
      </w:r>
    </w:p>
    <w:tbl>
      <w:tblPr>
        <w:tblStyle w:val="27"/>
        <w:tblW w:w="7266"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47"/>
        <w:gridCol w:w="2310"/>
        <w:gridCol w:w="840"/>
        <w:gridCol w:w="851"/>
        <w:gridCol w:w="1393"/>
      </w:tblGrid>
      <w:tr w14:paraId="30EBC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525" w:type="dxa"/>
          </w:tcPr>
          <w:p w14:paraId="1F665AFF">
            <w:pPr>
              <w:pStyle w:val="45"/>
              <w:rPr>
                <w:rFonts w:ascii="楷体_GB2312" w:hAnsi="宋体" w:eastAsia="楷体_GB2312"/>
                <w:sz w:val="24"/>
                <w:szCs w:val="24"/>
              </w:rPr>
            </w:pPr>
            <w:r>
              <w:rPr>
                <w:rFonts w:hint="eastAsia" w:ascii="楷体_GB2312" w:hAnsi="宋体" w:eastAsia="楷体_GB2312"/>
                <w:sz w:val="24"/>
                <w:szCs w:val="24"/>
              </w:rPr>
              <w:t>序</w:t>
            </w:r>
          </w:p>
        </w:tc>
        <w:tc>
          <w:tcPr>
            <w:tcW w:w="1347" w:type="dxa"/>
          </w:tcPr>
          <w:p w14:paraId="71811786">
            <w:pPr>
              <w:pStyle w:val="45"/>
              <w:rPr>
                <w:rFonts w:ascii="楷体_GB2312" w:hAnsi="宋体" w:eastAsia="楷体_GB2312"/>
                <w:sz w:val="24"/>
                <w:szCs w:val="24"/>
              </w:rPr>
            </w:pPr>
            <w:r>
              <w:rPr>
                <w:rFonts w:hint="eastAsia" w:ascii="楷体_GB2312" w:hAnsi="宋体" w:eastAsia="楷体_GB2312"/>
                <w:sz w:val="24"/>
                <w:szCs w:val="24"/>
              </w:rPr>
              <w:t>项目名称</w:t>
            </w:r>
          </w:p>
        </w:tc>
        <w:tc>
          <w:tcPr>
            <w:tcW w:w="2310" w:type="dxa"/>
          </w:tcPr>
          <w:p w14:paraId="60C8CCC9">
            <w:pPr>
              <w:pStyle w:val="45"/>
              <w:rPr>
                <w:rFonts w:ascii="楷体_GB2312" w:hAnsi="宋体" w:eastAsia="楷体_GB2312"/>
                <w:sz w:val="24"/>
                <w:szCs w:val="24"/>
              </w:rPr>
            </w:pPr>
            <w:r>
              <w:rPr>
                <w:rFonts w:hint="eastAsia" w:ascii="楷体_GB2312" w:hAnsi="宋体" w:eastAsia="楷体_GB2312"/>
                <w:sz w:val="24"/>
                <w:szCs w:val="24"/>
              </w:rPr>
              <w:t>内容说明</w:t>
            </w:r>
          </w:p>
        </w:tc>
        <w:tc>
          <w:tcPr>
            <w:tcW w:w="840" w:type="dxa"/>
          </w:tcPr>
          <w:p w14:paraId="7E110980">
            <w:pPr>
              <w:pStyle w:val="45"/>
              <w:rPr>
                <w:rFonts w:ascii="楷体_GB2312" w:hAnsi="宋体" w:eastAsia="楷体_GB2312"/>
                <w:sz w:val="24"/>
                <w:szCs w:val="24"/>
              </w:rPr>
            </w:pPr>
            <w:r>
              <w:rPr>
                <w:rFonts w:hint="eastAsia" w:ascii="楷体_GB2312" w:hAnsi="宋体" w:eastAsia="楷体_GB2312"/>
                <w:sz w:val="24"/>
                <w:szCs w:val="24"/>
              </w:rPr>
              <w:t>单价</w:t>
            </w:r>
          </w:p>
        </w:tc>
        <w:tc>
          <w:tcPr>
            <w:tcW w:w="851" w:type="dxa"/>
          </w:tcPr>
          <w:p w14:paraId="42C3C962">
            <w:pPr>
              <w:pStyle w:val="45"/>
              <w:rPr>
                <w:rFonts w:ascii="楷体_GB2312" w:hAnsi="宋体" w:eastAsia="楷体_GB2312"/>
                <w:sz w:val="24"/>
                <w:szCs w:val="24"/>
              </w:rPr>
            </w:pPr>
            <w:r>
              <w:rPr>
                <w:rFonts w:hint="eastAsia" w:ascii="楷体_GB2312" w:hAnsi="宋体" w:eastAsia="楷体_GB2312"/>
                <w:sz w:val="24"/>
                <w:szCs w:val="24"/>
              </w:rPr>
              <w:t>数量</w:t>
            </w:r>
          </w:p>
        </w:tc>
        <w:tc>
          <w:tcPr>
            <w:tcW w:w="1393" w:type="dxa"/>
          </w:tcPr>
          <w:p w14:paraId="064BACEE">
            <w:pPr>
              <w:pStyle w:val="45"/>
              <w:ind w:left="-223" w:leftChars="-106" w:firstLine="193" w:firstLineChars="80"/>
              <w:rPr>
                <w:rFonts w:ascii="楷体_GB2312" w:hAnsi="宋体" w:eastAsia="楷体_GB2312"/>
                <w:sz w:val="24"/>
                <w:szCs w:val="24"/>
              </w:rPr>
            </w:pPr>
            <w:r>
              <w:rPr>
                <w:rFonts w:hint="eastAsia" w:ascii="楷体_GB2312" w:hAnsi="宋体" w:eastAsia="楷体_GB2312"/>
                <w:sz w:val="24"/>
                <w:szCs w:val="24"/>
              </w:rPr>
              <w:t>金额</w:t>
            </w:r>
          </w:p>
        </w:tc>
      </w:tr>
      <w:tr w14:paraId="73088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Pr>
          <w:p w14:paraId="56AAF3D4">
            <w:pPr>
              <w:pStyle w:val="46"/>
              <w:rPr>
                <w:rFonts w:ascii="楷体_GB2312" w:hAnsi="宋体" w:eastAsia="楷体_GB2312"/>
              </w:rPr>
            </w:pPr>
          </w:p>
        </w:tc>
        <w:tc>
          <w:tcPr>
            <w:tcW w:w="1347" w:type="dxa"/>
          </w:tcPr>
          <w:p w14:paraId="45D3F1DE">
            <w:pPr>
              <w:pStyle w:val="46"/>
              <w:rPr>
                <w:rFonts w:ascii="楷体_GB2312" w:hAnsi="宋体" w:eastAsia="楷体_GB2312"/>
              </w:rPr>
            </w:pPr>
          </w:p>
        </w:tc>
        <w:tc>
          <w:tcPr>
            <w:tcW w:w="2310" w:type="dxa"/>
          </w:tcPr>
          <w:p w14:paraId="275EDB64">
            <w:pPr>
              <w:pStyle w:val="46"/>
              <w:rPr>
                <w:rFonts w:ascii="楷体_GB2312" w:hAnsi="宋体" w:eastAsia="楷体_GB2312"/>
              </w:rPr>
            </w:pPr>
          </w:p>
        </w:tc>
        <w:tc>
          <w:tcPr>
            <w:tcW w:w="840" w:type="dxa"/>
          </w:tcPr>
          <w:p w14:paraId="7E777DFE">
            <w:pPr>
              <w:pStyle w:val="46"/>
              <w:rPr>
                <w:rFonts w:ascii="楷体_GB2312" w:hAnsi="宋体" w:eastAsia="楷体_GB2312"/>
              </w:rPr>
            </w:pPr>
          </w:p>
        </w:tc>
        <w:tc>
          <w:tcPr>
            <w:tcW w:w="851" w:type="dxa"/>
          </w:tcPr>
          <w:p w14:paraId="3EAC82C2">
            <w:pPr>
              <w:pStyle w:val="46"/>
              <w:rPr>
                <w:rFonts w:ascii="楷体_GB2312" w:hAnsi="宋体" w:eastAsia="楷体_GB2312"/>
              </w:rPr>
            </w:pPr>
          </w:p>
        </w:tc>
        <w:tc>
          <w:tcPr>
            <w:tcW w:w="1393" w:type="dxa"/>
          </w:tcPr>
          <w:p w14:paraId="4D616FDE">
            <w:pPr>
              <w:pStyle w:val="46"/>
              <w:rPr>
                <w:rFonts w:ascii="楷体_GB2312" w:hAnsi="宋体" w:eastAsia="楷体_GB2312"/>
              </w:rPr>
            </w:pPr>
          </w:p>
        </w:tc>
      </w:tr>
      <w:tr w14:paraId="498C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Pr>
          <w:p w14:paraId="67277123">
            <w:pPr>
              <w:pStyle w:val="46"/>
              <w:rPr>
                <w:rFonts w:ascii="楷体_GB2312" w:hAnsi="宋体" w:eastAsia="楷体_GB2312"/>
              </w:rPr>
            </w:pPr>
          </w:p>
        </w:tc>
        <w:tc>
          <w:tcPr>
            <w:tcW w:w="1347" w:type="dxa"/>
          </w:tcPr>
          <w:p w14:paraId="6E8A71D1">
            <w:pPr>
              <w:pStyle w:val="46"/>
              <w:rPr>
                <w:rFonts w:ascii="楷体_GB2312" w:hAnsi="宋体" w:eastAsia="楷体_GB2312"/>
              </w:rPr>
            </w:pPr>
          </w:p>
        </w:tc>
        <w:tc>
          <w:tcPr>
            <w:tcW w:w="2310" w:type="dxa"/>
          </w:tcPr>
          <w:p w14:paraId="355C7BB8">
            <w:pPr>
              <w:pStyle w:val="46"/>
              <w:rPr>
                <w:rFonts w:ascii="楷体_GB2312" w:hAnsi="宋体" w:eastAsia="楷体_GB2312"/>
              </w:rPr>
            </w:pPr>
          </w:p>
        </w:tc>
        <w:tc>
          <w:tcPr>
            <w:tcW w:w="840" w:type="dxa"/>
          </w:tcPr>
          <w:p w14:paraId="3E987FA0">
            <w:pPr>
              <w:pStyle w:val="46"/>
              <w:rPr>
                <w:rFonts w:ascii="楷体_GB2312" w:hAnsi="宋体" w:eastAsia="楷体_GB2312"/>
              </w:rPr>
            </w:pPr>
          </w:p>
        </w:tc>
        <w:tc>
          <w:tcPr>
            <w:tcW w:w="851" w:type="dxa"/>
          </w:tcPr>
          <w:p w14:paraId="1B213B03">
            <w:pPr>
              <w:pStyle w:val="46"/>
              <w:rPr>
                <w:rFonts w:ascii="楷体_GB2312" w:hAnsi="宋体" w:eastAsia="楷体_GB2312"/>
              </w:rPr>
            </w:pPr>
          </w:p>
        </w:tc>
        <w:tc>
          <w:tcPr>
            <w:tcW w:w="1393" w:type="dxa"/>
          </w:tcPr>
          <w:p w14:paraId="0B1AE678">
            <w:pPr>
              <w:pStyle w:val="46"/>
              <w:rPr>
                <w:rFonts w:ascii="楷体_GB2312" w:hAnsi="宋体" w:eastAsia="楷体_GB2312"/>
              </w:rPr>
            </w:pPr>
          </w:p>
        </w:tc>
      </w:tr>
      <w:tr w14:paraId="18B7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Pr>
          <w:p w14:paraId="24E58E6A">
            <w:pPr>
              <w:pStyle w:val="46"/>
              <w:rPr>
                <w:rFonts w:ascii="楷体_GB2312" w:hAnsi="宋体" w:eastAsia="楷体_GB2312"/>
              </w:rPr>
            </w:pPr>
          </w:p>
        </w:tc>
        <w:tc>
          <w:tcPr>
            <w:tcW w:w="1347" w:type="dxa"/>
          </w:tcPr>
          <w:p w14:paraId="2AD95BA0">
            <w:pPr>
              <w:pStyle w:val="46"/>
              <w:rPr>
                <w:rFonts w:ascii="楷体_GB2312" w:hAnsi="宋体" w:eastAsia="楷体_GB2312"/>
              </w:rPr>
            </w:pPr>
          </w:p>
        </w:tc>
        <w:tc>
          <w:tcPr>
            <w:tcW w:w="2310" w:type="dxa"/>
          </w:tcPr>
          <w:p w14:paraId="7E24C01E">
            <w:pPr>
              <w:pStyle w:val="46"/>
              <w:rPr>
                <w:rFonts w:ascii="楷体_GB2312" w:hAnsi="宋体" w:eastAsia="楷体_GB2312"/>
              </w:rPr>
            </w:pPr>
          </w:p>
        </w:tc>
        <w:tc>
          <w:tcPr>
            <w:tcW w:w="840" w:type="dxa"/>
          </w:tcPr>
          <w:p w14:paraId="1BB2E377">
            <w:pPr>
              <w:pStyle w:val="46"/>
              <w:rPr>
                <w:rFonts w:ascii="楷体_GB2312" w:hAnsi="宋体" w:eastAsia="楷体_GB2312"/>
              </w:rPr>
            </w:pPr>
          </w:p>
        </w:tc>
        <w:tc>
          <w:tcPr>
            <w:tcW w:w="851" w:type="dxa"/>
          </w:tcPr>
          <w:p w14:paraId="14D958A7">
            <w:pPr>
              <w:pStyle w:val="46"/>
              <w:rPr>
                <w:rFonts w:ascii="楷体_GB2312" w:hAnsi="宋体" w:eastAsia="楷体_GB2312"/>
              </w:rPr>
            </w:pPr>
          </w:p>
        </w:tc>
        <w:tc>
          <w:tcPr>
            <w:tcW w:w="1393" w:type="dxa"/>
          </w:tcPr>
          <w:p w14:paraId="5DE46141">
            <w:pPr>
              <w:pStyle w:val="46"/>
              <w:rPr>
                <w:rFonts w:ascii="楷体_GB2312" w:hAnsi="宋体" w:eastAsia="楷体_GB2312"/>
              </w:rPr>
            </w:pPr>
          </w:p>
        </w:tc>
      </w:tr>
      <w:tr w14:paraId="77B9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3" w:type="dxa"/>
            <w:gridSpan w:val="5"/>
          </w:tcPr>
          <w:p w14:paraId="39B349A1">
            <w:pPr>
              <w:pStyle w:val="46"/>
              <w:jc w:val="center"/>
              <w:rPr>
                <w:rFonts w:ascii="楷体_GB2312" w:hAnsi="宋体" w:eastAsia="楷体_GB2312"/>
              </w:rPr>
            </w:pPr>
            <w:r>
              <w:rPr>
                <w:rFonts w:hint="eastAsia" w:ascii="楷体_GB2312" w:hAnsi="宋体" w:eastAsia="楷体_GB2312"/>
              </w:rPr>
              <w:t>合计</w:t>
            </w:r>
          </w:p>
        </w:tc>
        <w:tc>
          <w:tcPr>
            <w:tcW w:w="1393" w:type="dxa"/>
          </w:tcPr>
          <w:p w14:paraId="0456A731">
            <w:pPr>
              <w:pStyle w:val="46"/>
              <w:rPr>
                <w:rFonts w:ascii="楷体_GB2312" w:hAnsi="宋体" w:eastAsia="楷体_GB2312"/>
              </w:rPr>
            </w:pPr>
          </w:p>
        </w:tc>
      </w:tr>
    </w:tbl>
    <w:p w14:paraId="0EFB67F4">
      <w:pPr>
        <w:adjustRightInd w:val="0"/>
        <w:snapToGrid w:val="0"/>
        <w:spacing w:line="360" w:lineRule="auto"/>
        <w:ind w:firstLine="600"/>
        <w:jc w:val="left"/>
        <w:rPr>
          <w:rFonts w:ascii="楷体_GB2312" w:hAnsi="宋体" w:eastAsia="楷体_GB2312"/>
          <w:sz w:val="24"/>
        </w:rPr>
      </w:pPr>
      <w:r>
        <w:rPr>
          <w:rFonts w:hint="eastAsia" w:ascii="楷体_GB2312" w:hAnsi="宋体" w:eastAsia="楷体_GB2312"/>
          <w:sz w:val="24"/>
        </w:rPr>
        <w:t>本合同金额为人民币大写：</w:t>
      </w:r>
      <w:r>
        <w:rPr>
          <w:rFonts w:hint="eastAsia" w:ascii="楷体_GB2312" w:hAnsi="宋体" w:eastAsia="楷体_GB2312"/>
          <w:sz w:val="24"/>
          <w:u w:val="single"/>
        </w:rPr>
        <w:t xml:space="preserve">                     </w:t>
      </w:r>
      <w:r>
        <w:rPr>
          <w:rFonts w:hint="eastAsia" w:ascii="楷体_GB2312" w:hAnsi="宋体" w:eastAsia="楷体_GB2312"/>
          <w:sz w:val="24"/>
        </w:rPr>
        <w:t>元整，</w:t>
      </w:r>
    </w:p>
    <w:p w14:paraId="54E3461F">
      <w:pPr>
        <w:adjustRightInd w:val="0"/>
        <w:snapToGrid w:val="0"/>
        <w:spacing w:line="360" w:lineRule="auto"/>
        <w:ind w:firstLine="600"/>
        <w:jc w:val="left"/>
        <w:rPr>
          <w:rFonts w:ascii="楷体_GB2312" w:hAnsi="宋体" w:eastAsia="楷体_GB2312"/>
          <w:sz w:val="24"/>
          <w:u w:val="single"/>
        </w:rPr>
      </w:pPr>
      <w:r>
        <w:rPr>
          <w:rFonts w:hint="eastAsia" w:ascii="楷体_GB2312" w:hAnsi="宋体" w:eastAsia="楷体_GB2312"/>
          <w:sz w:val="24"/>
        </w:rPr>
        <w:t>小写：</w:t>
      </w:r>
      <w:r>
        <w:rPr>
          <w:rFonts w:hint="eastAsia" w:ascii="楷体_GB2312" w:hAnsi="宋体" w:eastAsia="楷体_GB2312"/>
          <w:sz w:val="24"/>
          <w:u w:val="single"/>
        </w:rPr>
        <w:t xml:space="preserve">         </w:t>
      </w:r>
      <w:r>
        <w:rPr>
          <w:rFonts w:hint="eastAsia" w:ascii="楷体_GB2312" w:hAnsi="宋体" w:eastAsia="楷体_GB2312"/>
          <w:sz w:val="24"/>
        </w:rPr>
        <w:t>。</w:t>
      </w:r>
    </w:p>
    <w:p w14:paraId="517F47F9">
      <w:pPr>
        <w:adjustRightInd w:val="0"/>
        <w:snapToGrid w:val="0"/>
        <w:spacing w:line="360" w:lineRule="auto"/>
        <w:ind w:firstLine="600"/>
        <w:jc w:val="left"/>
        <w:rPr>
          <w:rFonts w:ascii="楷体_GB2312" w:hAnsi="宋体" w:eastAsia="楷体_GB2312"/>
          <w:sz w:val="24"/>
        </w:rPr>
      </w:pPr>
      <w:r>
        <w:rPr>
          <w:rFonts w:hint="eastAsia" w:ascii="楷体_GB2312" w:hAnsi="宋体" w:eastAsia="楷体_GB2312"/>
          <w:sz w:val="24"/>
        </w:rPr>
        <w:t>项目的具体服务要求见集中采购机构的招标文件中项目需求。</w:t>
      </w:r>
    </w:p>
    <w:p w14:paraId="0D9BCAC3">
      <w:pPr>
        <w:adjustRightInd w:val="0"/>
        <w:snapToGrid w:val="0"/>
        <w:spacing w:line="360" w:lineRule="auto"/>
        <w:ind w:firstLine="482" w:firstLineChars="200"/>
        <w:jc w:val="left"/>
        <w:rPr>
          <w:rFonts w:ascii="楷体_GB2312" w:hAnsi="宋体" w:eastAsia="楷体_GB2312"/>
          <w:b/>
          <w:sz w:val="24"/>
        </w:rPr>
      </w:pPr>
      <w:r>
        <w:rPr>
          <w:rFonts w:hint="eastAsia" w:ascii="楷体_GB2312" w:hAnsi="宋体" w:eastAsia="楷体_GB2312"/>
          <w:b/>
          <w:sz w:val="24"/>
        </w:rPr>
        <w:t>二、合同文件</w:t>
      </w:r>
    </w:p>
    <w:p w14:paraId="2ABBE469">
      <w:pPr>
        <w:adjustRightInd w:val="0"/>
        <w:snapToGrid w:val="0"/>
        <w:spacing w:line="360" w:lineRule="auto"/>
        <w:ind w:firstLine="480" w:firstLineChars="200"/>
        <w:jc w:val="left"/>
        <w:rPr>
          <w:rFonts w:ascii="楷体_GB2312" w:hAnsi="宋体" w:eastAsia="楷体_GB2312"/>
          <w:sz w:val="24"/>
        </w:rPr>
      </w:pPr>
      <w:r>
        <w:rPr>
          <w:rFonts w:hint="eastAsia" w:ascii="楷体_GB2312" w:hAnsi="宋体" w:eastAsia="楷体_GB2312"/>
          <w:sz w:val="24"/>
        </w:rPr>
        <w:t>下列文件是构成合同不可分割的部分，并与本合同具有同等法律效力，</w:t>
      </w:r>
      <w:r>
        <w:rPr>
          <w:rFonts w:hint="eastAsia" w:ascii="楷体_GB2312" w:hAnsi="宋体" w:eastAsia="楷体_GB2312"/>
          <w:bCs/>
          <w:sz w:val="24"/>
        </w:rPr>
        <w:t>这些文件包括但不限于：</w:t>
      </w:r>
    </w:p>
    <w:p w14:paraId="5B5003BD">
      <w:pPr>
        <w:adjustRightInd w:val="0"/>
        <w:snapToGrid w:val="0"/>
        <w:spacing w:line="360" w:lineRule="auto"/>
        <w:ind w:firstLine="480" w:firstLineChars="200"/>
        <w:jc w:val="left"/>
        <w:rPr>
          <w:rFonts w:ascii="楷体_GB2312" w:hAnsi="宋体" w:eastAsia="楷体_GB2312"/>
          <w:sz w:val="24"/>
        </w:rPr>
      </w:pPr>
      <w:r>
        <w:rPr>
          <w:rFonts w:hint="eastAsia" w:ascii="楷体_GB2312" w:hAnsi="宋体" w:eastAsia="楷体_GB2312"/>
          <w:sz w:val="24"/>
        </w:rPr>
        <w:t>1、常天政采竞【2015】24号招标文件。</w:t>
      </w:r>
    </w:p>
    <w:p w14:paraId="006B769B">
      <w:pPr>
        <w:adjustRightInd w:val="0"/>
        <w:snapToGrid w:val="0"/>
        <w:spacing w:line="360" w:lineRule="auto"/>
        <w:ind w:firstLine="480" w:firstLineChars="200"/>
        <w:jc w:val="left"/>
        <w:rPr>
          <w:rFonts w:ascii="楷体_GB2312" w:hAnsi="宋体" w:eastAsia="楷体_GB2312"/>
          <w:sz w:val="24"/>
        </w:rPr>
      </w:pPr>
      <w:r>
        <w:rPr>
          <w:rFonts w:hint="eastAsia" w:ascii="楷体_GB2312" w:hAnsi="宋体" w:eastAsia="楷体_GB2312"/>
          <w:sz w:val="24"/>
        </w:rPr>
        <w:t>2、乙方提交的投标书。</w:t>
      </w:r>
    </w:p>
    <w:p w14:paraId="5C9F73F5">
      <w:pPr>
        <w:adjustRightInd w:val="0"/>
        <w:snapToGrid w:val="0"/>
        <w:spacing w:line="360" w:lineRule="auto"/>
        <w:ind w:firstLine="480" w:firstLineChars="200"/>
        <w:jc w:val="left"/>
        <w:rPr>
          <w:rFonts w:ascii="楷体_GB2312" w:hAnsi="宋体" w:eastAsia="楷体_GB2312"/>
          <w:sz w:val="24"/>
        </w:rPr>
      </w:pPr>
      <w:r>
        <w:rPr>
          <w:rFonts w:hint="eastAsia" w:ascii="楷体_GB2312" w:hAnsi="宋体" w:eastAsia="楷体_GB2312"/>
          <w:sz w:val="24"/>
        </w:rPr>
        <w:t>3、乙方投标书的其他资料及承诺。</w:t>
      </w:r>
    </w:p>
    <w:p w14:paraId="2A632891">
      <w:pPr>
        <w:adjustRightInd w:val="0"/>
        <w:snapToGrid w:val="0"/>
        <w:spacing w:line="360" w:lineRule="auto"/>
        <w:ind w:firstLine="480" w:firstLineChars="200"/>
        <w:jc w:val="left"/>
        <w:rPr>
          <w:rFonts w:ascii="楷体_GB2312" w:hAnsi="宋体" w:eastAsia="楷体_GB2312"/>
          <w:sz w:val="24"/>
        </w:rPr>
      </w:pPr>
      <w:r>
        <w:rPr>
          <w:rFonts w:hint="eastAsia" w:ascii="楷体_GB2312" w:hAnsi="宋体" w:eastAsia="楷体_GB2312"/>
          <w:sz w:val="24"/>
        </w:rPr>
        <w:t>4、评标记录</w:t>
      </w:r>
    </w:p>
    <w:p w14:paraId="30762496">
      <w:pPr>
        <w:adjustRightInd w:val="0"/>
        <w:snapToGrid w:val="0"/>
        <w:spacing w:line="360" w:lineRule="auto"/>
        <w:ind w:firstLine="482" w:firstLineChars="200"/>
        <w:jc w:val="left"/>
        <w:rPr>
          <w:rFonts w:ascii="楷体_GB2312" w:hAnsi="宋体" w:eastAsia="楷体_GB2312"/>
          <w:b/>
          <w:sz w:val="24"/>
        </w:rPr>
      </w:pPr>
      <w:r>
        <w:rPr>
          <w:rFonts w:hint="eastAsia" w:ascii="楷体_GB2312" w:hAnsi="宋体" w:eastAsia="楷体_GB2312"/>
          <w:b/>
          <w:sz w:val="24"/>
        </w:rPr>
        <w:t>三、质量保证</w:t>
      </w:r>
    </w:p>
    <w:p w14:paraId="4A1CB23E">
      <w:pPr>
        <w:adjustRightInd w:val="0"/>
        <w:snapToGrid w:val="0"/>
        <w:spacing w:line="360" w:lineRule="auto"/>
        <w:ind w:firstLine="525"/>
        <w:jc w:val="left"/>
        <w:rPr>
          <w:rFonts w:ascii="楷体_GB2312" w:hAnsi="宋体" w:eastAsia="楷体_GB2312"/>
          <w:sz w:val="24"/>
        </w:rPr>
      </w:pPr>
      <w:r>
        <w:rPr>
          <w:rFonts w:hint="eastAsia" w:ascii="楷体_GB2312" w:hAnsi="宋体" w:eastAsia="楷体_GB2312"/>
          <w:sz w:val="24"/>
        </w:rPr>
        <w:t>乙方所提供的服务必须符合国家有关标准和常天政采竞[2015]24号采购招标文件（含技术说明）和投标文件的要求。</w:t>
      </w:r>
    </w:p>
    <w:p w14:paraId="3C768F50">
      <w:pPr>
        <w:adjustRightInd w:val="0"/>
        <w:snapToGrid w:val="0"/>
        <w:spacing w:line="360" w:lineRule="auto"/>
        <w:ind w:firstLine="482" w:firstLineChars="200"/>
        <w:jc w:val="left"/>
        <w:rPr>
          <w:rFonts w:ascii="楷体_GB2312" w:hAnsi="宋体" w:eastAsia="楷体_GB2312"/>
          <w:b/>
          <w:sz w:val="24"/>
        </w:rPr>
      </w:pPr>
      <w:r>
        <w:rPr>
          <w:rFonts w:hint="eastAsia" w:ascii="楷体_GB2312" w:hAnsi="宋体" w:eastAsia="楷体_GB2312"/>
          <w:b/>
          <w:sz w:val="24"/>
        </w:rPr>
        <w:t>四、维保服务时间</w:t>
      </w:r>
    </w:p>
    <w:p w14:paraId="66614EB1">
      <w:pPr>
        <w:adjustRightInd w:val="0"/>
        <w:snapToGrid w:val="0"/>
        <w:spacing w:line="360" w:lineRule="auto"/>
        <w:ind w:firstLine="482" w:firstLineChars="200"/>
        <w:jc w:val="left"/>
        <w:rPr>
          <w:rFonts w:ascii="楷体_GB2312" w:hAnsi="宋体" w:eastAsia="楷体_GB2312"/>
          <w:b/>
          <w:sz w:val="24"/>
        </w:rPr>
      </w:pPr>
    </w:p>
    <w:p w14:paraId="6BA59257">
      <w:pPr>
        <w:snapToGrid w:val="0"/>
        <w:spacing w:line="360" w:lineRule="auto"/>
        <w:ind w:firstLine="598" w:firstLineChars="248"/>
        <w:rPr>
          <w:rFonts w:ascii="仿宋_GB2312" w:hAnsi="宋体" w:eastAsia="仿宋_GB2312" w:cs="宋体"/>
          <w:kern w:val="0"/>
          <w:sz w:val="24"/>
        </w:rPr>
      </w:pPr>
      <w:r>
        <w:rPr>
          <w:rFonts w:hint="eastAsia" w:ascii="楷体_GB2312" w:hAnsi="宋体" w:eastAsia="楷体_GB2312"/>
          <w:b/>
          <w:sz w:val="24"/>
        </w:rPr>
        <w:t>五、付款方式：</w:t>
      </w:r>
    </w:p>
    <w:p w14:paraId="0A221E8B">
      <w:pPr>
        <w:snapToGrid w:val="0"/>
        <w:spacing w:line="360" w:lineRule="auto"/>
        <w:ind w:firstLine="480"/>
        <w:rPr>
          <w:rFonts w:ascii="楷体_GB2312" w:hAnsi="宋体" w:eastAsia="楷体_GB2312"/>
          <w:b/>
          <w:sz w:val="24"/>
        </w:rPr>
      </w:pPr>
      <w:r>
        <w:rPr>
          <w:rFonts w:hint="eastAsia" w:ascii="楷体_GB2312" w:hAnsi="宋体" w:eastAsia="楷体_GB2312"/>
          <w:b/>
          <w:sz w:val="24"/>
        </w:rPr>
        <w:t xml:space="preserve"> </w:t>
      </w:r>
    </w:p>
    <w:p w14:paraId="45E24AD0">
      <w:pPr>
        <w:adjustRightInd w:val="0"/>
        <w:snapToGrid w:val="0"/>
        <w:spacing w:line="360" w:lineRule="auto"/>
        <w:ind w:firstLine="600" w:firstLineChars="249"/>
        <w:jc w:val="left"/>
        <w:rPr>
          <w:rFonts w:ascii="楷体_GB2312" w:hAnsi="宋体" w:eastAsia="楷体_GB2312"/>
          <w:b/>
          <w:sz w:val="24"/>
        </w:rPr>
      </w:pPr>
      <w:r>
        <w:rPr>
          <w:rFonts w:hint="eastAsia" w:ascii="楷体_GB2312" w:hAnsi="宋体" w:eastAsia="楷体_GB2312"/>
          <w:b/>
          <w:sz w:val="24"/>
        </w:rPr>
        <w:t>六、服务承诺</w:t>
      </w:r>
    </w:p>
    <w:p w14:paraId="285DFB0D">
      <w:pPr>
        <w:adjustRightInd w:val="0"/>
        <w:snapToGrid w:val="0"/>
        <w:spacing w:line="360" w:lineRule="auto"/>
        <w:ind w:firstLine="600"/>
        <w:jc w:val="left"/>
        <w:rPr>
          <w:rFonts w:ascii="楷体_GB2312" w:hAnsi="宋体" w:eastAsia="楷体_GB2312"/>
          <w:sz w:val="24"/>
        </w:rPr>
      </w:pPr>
    </w:p>
    <w:p w14:paraId="0461C521">
      <w:pPr>
        <w:adjustRightInd w:val="0"/>
        <w:snapToGrid w:val="0"/>
        <w:spacing w:line="360" w:lineRule="auto"/>
        <w:ind w:firstLine="600"/>
        <w:jc w:val="left"/>
        <w:rPr>
          <w:rFonts w:ascii="楷体_GB2312" w:hAnsi="宋体" w:eastAsia="楷体_GB2312"/>
          <w:b/>
          <w:sz w:val="24"/>
        </w:rPr>
      </w:pPr>
      <w:r>
        <w:rPr>
          <w:rFonts w:hint="eastAsia" w:ascii="楷体_GB2312" w:hAnsi="宋体" w:eastAsia="楷体_GB2312"/>
          <w:b/>
          <w:sz w:val="24"/>
        </w:rPr>
        <w:t>七、违约责任</w:t>
      </w:r>
    </w:p>
    <w:p w14:paraId="13F79E52">
      <w:pPr>
        <w:adjustRightInd w:val="0"/>
        <w:snapToGrid w:val="0"/>
        <w:spacing w:line="360" w:lineRule="auto"/>
        <w:ind w:firstLine="600"/>
        <w:jc w:val="left"/>
        <w:rPr>
          <w:rFonts w:ascii="楷体_GB2312" w:hAnsi="宋体" w:eastAsia="楷体_GB2312"/>
          <w:b/>
          <w:sz w:val="24"/>
        </w:rPr>
      </w:pPr>
    </w:p>
    <w:p w14:paraId="0BB24DC5">
      <w:pPr>
        <w:adjustRightInd w:val="0"/>
        <w:snapToGrid w:val="0"/>
        <w:spacing w:line="360" w:lineRule="auto"/>
        <w:ind w:firstLine="600"/>
        <w:jc w:val="left"/>
        <w:rPr>
          <w:rFonts w:ascii="楷体_GB2312" w:hAnsi="宋体" w:eastAsia="楷体_GB2312"/>
          <w:b/>
          <w:sz w:val="24"/>
        </w:rPr>
      </w:pPr>
      <w:r>
        <w:rPr>
          <w:rFonts w:hint="eastAsia" w:ascii="楷体_GB2312" w:hAnsi="宋体" w:eastAsia="楷体_GB2312"/>
          <w:b/>
          <w:sz w:val="24"/>
        </w:rPr>
        <w:t>八、不可抗力</w:t>
      </w:r>
    </w:p>
    <w:p w14:paraId="45D76FFE">
      <w:pPr>
        <w:adjustRightInd w:val="0"/>
        <w:snapToGrid w:val="0"/>
        <w:spacing w:line="360" w:lineRule="auto"/>
        <w:ind w:firstLine="600"/>
        <w:jc w:val="left"/>
        <w:rPr>
          <w:rFonts w:ascii="楷体_GB2312" w:hAnsi="宋体" w:eastAsia="楷体_GB2312"/>
          <w:b/>
          <w:sz w:val="24"/>
        </w:rPr>
      </w:pPr>
    </w:p>
    <w:p w14:paraId="4028B7E7">
      <w:pPr>
        <w:adjustRightInd w:val="0"/>
        <w:snapToGrid w:val="0"/>
        <w:spacing w:line="360" w:lineRule="auto"/>
        <w:ind w:firstLine="600"/>
        <w:jc w:val="left"/>
        <w:rPr>
          <w:rFonts w:ascii="楷体_GB2312" w:hAnsi="宋体" w:eastAsia="楷体_GB2312"/>
          <w:b/>
          <w:sz w:val="24"/>
        </w:rPr>
      </w:pPr>
      <w:r>
        <w:rPr>
          <w:rFonts w:hint="eastAsia" w:ascii="楷体_GB2312" w:hAnsi="宋体" w:eastAsia="楷体_GB2312"/>
          <w:b/>
          <w:sz w:val="24"/>
        </w:rPr>
        <w:t>九、合同纠纷处理</w:t>
      </w:r>
    </w:p>
    <w:p w14:paraId="55E72B9C">
      <w:pPr>
        <w:adjustRightInd w:val="0"/>
        <w:snapToGrid w:val="0"/>
        <w:spacing w:line="360" w:lineRule="auto"/>
        <w:ind w:firstLine="600"/>
        <w:jc w:val="left"/>
        <w:rPr>
          <w:rFonts w:ascii="楷体_GB2312" w:hAnsi="宋体" w:eastAsia="楷体_GB2312"/>
          <w:b/>
          <w:sz w:val="24"/>
        </w:rPr>
      </w:pPr>
    </w:p>
    <w:p w14:paraId="5785C0B4">
      <w:pPr>
        <w:adjustRightInd w:val="0"/>
        <w:snapToGrid w:val="0"/>
        <w:spacing w:line="360" w:lineRule="auto"/>
        <w:ind w:firstLine="600"/>
        <w:jc w:val="left"/>
        <w:rPr>
          <w:rFonts w:ascii="楷体_GB2312" w:hAnsi="宋体" w:eastAsia="楷体_GB2312"/>
          <w:b/>
          <w:sz w:val="24"/>
        </w:rPr>
      </w:pPr>
      <w:r>
        <w:rPr>
          <w:rFonts w:hint="eastAsia" w:ascii="楷体_GB2312" w:hAnsi="宋体" w:eastAsia="楷体_GB2312"/>
          <w:b/>
          <w:sz w:val="24"/>
        </w:rPr>
        <w:t>十、其它约定事项</w:t>
      </w:r>
    </w:p>
    <w:p w14:paraId="03C333A5">
      <w:pPr>
        <w:adjustRightInd w:val="0"/>
        <w:snapToGrid w:val="0"/>
        <w:spacing w:line="360" w:lineRule="auto"/>
        <w:ind w:firstLine="600"/>
        <w:jc w:val="left"/>
        <w:rPr>
          <w:rFonts w:ascii="楷体_GB2312" w:hAnsi="宋体" w:eastAsia="楷体_GB2312"/>
          <w:b/>
          <w:sz w:val="24"/>
        </w:rPr>
      </w:pPr>
    </w:p>
    <w:p w14:paraId="6622D390">
      <w:pPr>
        <w:adjustRightInd w:val="0"/>
        <w:snapToGrid w:val="0"/>
        <w:spacing w:line="360" w:lineRule="auto"/>
        <w:ind w:firstLine="600"/>
        <w:jc w:val="left"/>
        <w:rPr>
          <w:rFonts w:ascii="楷体_GB2312" w:hAnsi="宋体" w:eastAsia="楷体_GB2312"/>
          <w:b/>
          <w:sz w:val="24"/>
        </w:rPr>
      </w:pPr>
      <w:r>
        <w:rPr>
          <w:rFonts w:hint="eastAsia" w:ascii="楷体_GB2312" w:hAnsi="宋体" w:eastAsia="楷体_GB2312"/>
          <w:b/>
          <w:sz w:val="24"/>
        </w:rPr>
        <w:t>十一、合同生效</w:t>
      </w:r>
    </w:p>
    <w:p w14:paraId="0F3E4C8A">
      <w:pPr>
        <w:adjustRightInd w:val="0"/>
        <w:snapToGrid w:val="0"/>
        <w:spacing w:line="360" w:lineRule="auto"/>
        <w:ind w:firstLine="600"/>
        <w:jc w:val="left"/>
        <w:rPr>
          <w:rFonts w:ascii="楷体_GB2312" w:hAnsi="宋体" w:eastAsia="楷体_GB2312"/>
          <w:sz w:val="24"/>
        </w:rPr>
      </w:pPr>
      <w:r>
        <w:rPr>
          <w:rFonts w:hint="eastAsia" w:ascii="楷体_GB2312" w:hAnsi="宋体" w:eastAsia="楷体_GB2312"/>
          <w:sz w:val="24"/>
        </w:rPr>
        <w:t>本合同经三方盖章签字后生效，如有变动，必须经三方协商一致后，方可更改。本合同一式叁份，甲方壹份，乙方壹份，集中采购机构壹份。</w:t>
      </w:r>
    </w:p>
    <w:p w14:paraId="09733173">
      <w:pPr>
        <w:adjustRightInd w:val="0"/>
        <w:snapToGrid w:val="0"/>
        <w:spacing w:line="360" w:lineRule="auto"/>
        <w:ind w:firstLine="600"/>
        <w:jc w:val="left"/>
        <w:rPr>
          <w:rFonts w:ascii="楷体_GB2312" w:hAnsi="宋体" w:eastAsia="楷体_GB2312"/>
          <w:sz w:val="24"/>
        </w:rPr>
      </w:pPr>
      <w:r>
        <w:rPr>
          <w:rFonts w:hint="eastAsia" w:ascii="楷体_GB2312" w:hAnsi="宋体" w:eastAsia="楷体_GB2312"/>
          <w:sz w:val="24"/>
        </w:rPr>
        <w:t>其他未尽事宜，参照相关法律，双方协商解决。</w:t>
      </w:r>
    </w:p>
    <w:p w14:paraId="0B6F9A03">
      <w:pPr>
        <w:adjustRightInd w:val="0"/>
        <w:snapToGrid w:val="0"/>
        <w:spacing w:line="360" w:lineRule="auto"/>
        <w:outlineLvl w:val="0"/>
        <w:rPr>
          <w:rFonts w:ascii="楷体_GB2312" w:eastAsia="楷体_GB2312"/>
          <w:sz w:val="24"/>
        </w:rPr>
      </w:pPr>
    </w:p>
    <w:p w14:paraId="345EA772">
      <w:pPr>
        <w:adjustRightInd w:val="0"/>
        <w:snapToGrid w:val="0"/>
        <w:spacing w:line="360" w:lineRule="auto"/>
        <w:outlineLvl w:val="0"/>
        <w:rPr>
          <w:rFonts w:ascii="楷体_GB2312" w:eastAsia="楷体_GB2312"/>
          <w:sz w:val="24"/>
        </w:rPr>
      </w:pPr>
      <w:r>
        <w:rPr>
          <w:rFonts w:hint="eastAsia" w:ascii="楷体_GB2312" w:eastAsia="楷体_GB2312"/>
          <w:sz w:val="24"/>
        </w:rPr>
        <w:t>甲方：单位名称（章）：</w:t>
      </w:r>
    </w:p>
    <w:p w14:paraId="3A8AB7CB">
      <w:pPr>
        <w:adjustRightInd w:val="0"/>
        <w:snapToGrid w:val="0"/>
        <w:spacing w:line="360" w:lineRule="auto"/>
        <w:ind w:firstLine="480" w:firstLineChars="200"/>
        <w:rPr>
          <w:rFonts w:ascii="楷体_GB2312" w:eastAsia="楷体_GB2312"/>
          <w:sz w:val="24"/>
          <w:u w:val="single"/>
        </w:rPr>
      </w:pPr>
      <w:r>
        <w:rPr>
          <w:rFonts w:hint="eastAsia" w:ascii="楷体_GB2312" w:eastAsia="楷体_GB2312"/>
          <w:sz w:val="24"/>
        </w:rPr>
        <w:t>单位地址：</w:t>
      </w:r>
    </w:p>
    <w:p w14:paraId="28E528C1">
      <w:pPr>
        <w:adjustRightInd w:val="0"/>
        <w:snapToGrid w:val="0"/>
        <w:spacing w:line="360" w:lineRule="auto"/>
        <w:ind w:firstLine="480" w:firstLineChars="200"/>
        <w:rPr>
          <w:rFonts w:ascii="楷体_GB2312" w:eastAsia="楷体_GB2312"/>
          <w:sz w:val="24"/>
        </w:rPr>
      </w:pPr>
      <w:r>
        <w:rPr>
          <w:rFonts w:hint="eastAsia" w:ascii="楷体_GB2312" w:eastAsia="楷体_GB2312"/>
          <w:sz w:val="24"/>
        </w:rPr>
        <w:t>法定代表人：</w:t>
      </w:r>
    </w:p>
    <w:p w14:paraId="700F36B5">
      <w:pPr>
        <w:adjustRightInd w:val="0"/>
        <w:snapToGrid w:val="0"/>
        <w:spacing w:line="360" w:lineRule="auto"/>
        <w:ind w:firstLine="480" w:firstLineChars="200"/>
        <w:rPr>
          <w:rFonts w:ascii="楷体_GB2312" w:eastAsia="楷体_GB2312"/>
          <w:sz w:val="24"/>
        </w:rPr>
      </w:pPr>
      <w:r>
        <w:rPr>
          <w:rFonts w:hint="eastAsia" w:ascii="楷体_GB2312" w:eastAsia="楷体_GB2312"/>
          <w:sz w:val="24"/>
        </w:rPr>
        <w:t>委托代理人：</w:t>
      </w:r>
    </w:p>
    <w:p w14:paraId="37A3BAF6">
      <w:pPr>
        <w:adjustRightInd w:val="0"/>
        <w:snapToGrid w:val="0"/>
        <w:spacing w:line="360" w:lineRule="auto"/>
        <w:ind w:firstLine="480" w:firstLineChars="200"/>
        <w:rPr>
          <w:rFonts w:ascii="楷体_GB2312" w:eastAsia="楷体_GB2312"/>
          <w:sz w:val="24"/>
        </w:rPr>
      </w:pPr>
      <w:r>
        <w:rPr>
          <w:rFonts w:hint="eastAsia" w:ascii="楷体_GB2312" w:eastAsia="楷体_GB2312"/>
          <w:sz w:val="24"/>
        </w:rPr>
        <w:t>经办人：</w:t>
      </w:r>
    </w:p>
    <w:p w14:paraId="5387BF08">
      <w:pPr>
        <w:adjustRightInd w:val="0"/>
        <w:snapToGrid w:val="0"/>
        <w:spacing w:line="360" w:lineRule="auto"/>
        <w:ind w:firstLine="480" w:firstLineChars="200"/>
        <w:rPr>
          <w:rFonts w:ascii="楷体_GB2312" w:eastAsia="楷体_GB2312"/>
          <w:sz w:val="24"/>
        </w:rPr>
      </w:pPr>
      <w:r>
        <w:rPr>
          <w:rFonts w:hint="eastAsia" w:ascii="楷体_GB2312" w:eastAsia="楷体_GB2312"/>
          <w:sz w:val="24"/>
        </w:rPr>
        <w:t>电  话：</w:t>
      </w:r>
    </w:p>
    <w:p w14:paraId="024E749A">
      <w:pPr>
        <w:rPr>
          <w:rFonts w:ascii="Tahoma" w:hAnsi="Tahoma"/>
          <w:sz w:val="24"/>
        </w:rPr>
      </w:pPr>
    </w:p>
    <w:p w14:paraId="747BEB22">
      <w:pPr>
        <w:adjustRightInd w:val="0"/>
        <w:snapToGrid w:val="0"/>
        <w:spacing w:line="360" w:lineRule="auto"/>
        <w:outlineLvl w:val="0"/>
        <w:rPr>
          <w:rFonts w:ascii="楷体_GB2312" w:eastAsia="楷体_GB2312"/>
          <w:sz w:val="24"/>
        </w:rPr>
      </w:pPr>
      <w:r>
        <w:rPr>
          <w:rFonts w:hint="eastAsia" w:ascii="楷体_GB2312" w:eastAsia="楷体_GB2312"/>
          <w:sz w:val="24"/>
        </w:rPr>
        <w:t>乙方：单位名称（章）：</w:t>
      </w:r>
    </w:p>
    <w:p w14:paraId="5C917FAD">
      <w:pPr>
        <w:adjustRightInd w:val="0"/>
        <w:snapToGrid w:val="0"/>
        <w:spacing w:line="360" w:lineRule="auto"/>
        <w:ind w:firstLine="480" w:firstLineChars="200"/>
        <w:rPr>
          <w:rFonts w:ascii="楷体_GB2312" w:eastAsia="楷体_GB2312"/>
          <w:sz w:val="24"/>
          <w:u w:val="single"/>
        </w:rPr>
      </w:pPr>
      <w:r>
        <w:rPr>
          <w:rFonts w:hint="eastAsia" w:ascii="楷体_GB2312" w:eastAsia="楷体_GB2312"/>
          <w:sz w:val="24"/>
        </w:rPr>
        <w:t xml:space="preserve">单位地址： </w:t>
      </w:r>
    </w:p>
    <w:p w14:paraId="3F8C2D68">
      <w:pPr>
        <w:adjustRightInd w:val="0"/>
        <w:snapToGrid w:val="0"/>
        <w:spacing w:line="360" w:lineRule="auto"/>
        <w:ind w:firstLine="480" w:firstLineChars="200"/>
        <w:rPr>
          <w:rFonts w:ascii="楷体_GB2312" w:eastAsia="楷体_GB2312"/>
          <w:sz w:val="24"/>
        </w:rPr>
      </w:pPr>
      <w:r>
        <w:rPr>
          <w:rFonts w:hint="eastAsia" w:ascii="楷体_GB2312" w:eastAsia="楷体_GB2312"/>
          <w:sz w:val="24"/>
        </w:rPr>
        <w:t>法定代表人：</w:t>
      </w:r>
    </w:p>
    <w:p w14:paraId="7C36EB69">
      <w:pPr>
        <w:adjustRightInd w:val="0"/>
        <w:snapToGrid w:val="0"/>
        <w:spacing w:line="360" w:lineRule="auto"/>
        <w:ind w:firstLine="480" w:firstLineChars="200"/>
        <w:rPr>
          <w:rFonts w:ascii="楷体_GB2312" w:eastAsia="楷体_GB2312"/>
          <w:sz w:val="24"/>
        </w:rPr>
      </w:pPr>
      <w:r>
        <w:rPr>
          <w:rFonts w:hint="eastAsia" w:ascii="楷体_GB2312" w:eastAsia="楷体_GB2312"/>
          <w:sz w:val="24"/>
        </w:rPr>
        <w:t>委托代理人：</w:t>
      </w:r>
    </w:p>
    <w:p w14:paraId="2A11527B">
      <w:pPr>
        <w:adjustRightInd w:val="0"/>
        <w:snapToGrid w:val="0"/>
        <w:spacing w:line="360" w:lineRule="auto"/>
        <w:ind w:firstLine="480" w:firstLineChars="200"/>
        <w:rPr>
          <w:rFonts w:ascii="楷体_GB2312" w:eastAsia="楷体_GB2312"/>
          <w:sz w:val="24"/>
        </w:rPr>
      </w:pPr>
      <w:r>
        <w:rPr>
          <w:rFonts w:hint="eastAsia" w:ascii="楷体_GB2312" w:eastAsia="楷体_GB2312"/>
          <w:sz w:val="24"/>
        </w:rPr>
        <w:t>经办人：</w:t>
      </w:r>
    </w:p>
    <w:p w14:paraId="1A8067B4">
      <w:pPr>
        <w:adjustRightInd w:val="0"/>
        <w:snapToGrid w:val="0"/>
        <w:spacing w:line="360" w:lineRule="auto"/>
        <w:ind w:firstLine="480" w:firstLineChars="200"/>
        <w:rPr>
          <w:rFonts w:ascii="楷体_GB2312" w:eastAsia="楷体_GB2312"/>
          <w:sz w:val="24"/>
        </w:rPr>
      </w:pPr>
      <w:r>
        <w:rPr>
          <w:rFonts w:hint="eastAsia" w:ascii="楷体_GB2312" w:eastAsia="楷体_GB2312"/>
          <w:sz w:val="24"/>
        </w:rPr>
        <w:t>电  话：</w:t>
      </w:r>
    </w:p>
    <w:p w14:paraId="7103015F">
      <w:pPr>
        <w:adjustRightInd w:val="0"/>
        <w:snapToGrid w:val="0"/>
        <w:spacing w:line="360" w:lineRule="auto"/>
        <w:ind w:firstLine="480" w:firstLineChars="200"/>
        <w:rPr>
          <w:rFonts w:ascii="楷体_GB2312" w:eastAsia="楷体_GB2312"/>
          <w:sz w:val="24"/>
        </w:rPr>
      </w:pPr>
    </w:p>
    <w:p w14:paraId="5B944474">
      <w:pPr>
        <w:adjustRightInd w:val="0"/>
        <w:snapToGrid w:val="0"/>
        <w:spacing w:line="360" w:lineRule="auto"/>
        <w:rPr>
          <w:rFonts w:ascii="楷体_GB2312" w:eastAsia="楷体_GB2312"/>
          <w:sz w:val="24"/>
          <w:u w:val="single"/>
        </w:rPr>
      </w:pPr>
      <w:r>
        <w:rPr>
          <w:rFonts w:hint="eastAsia" w:ascii="楷体_GB2312" w:eastAsia="楷体_GB2312"/>
          <w:sz w:val="24"/>
        </w:rPr>
        <w:t>集中采购机构：单位名称（章）：</w:t>
      </w:r>
      <w:r>
        <w:rPr>
          <w:rFonts w:hint="eastAsia" w:ascii="楷体_GB2312" w:eastAsia="楷体_GB2312"/>
          <w:sz w:val="24"/>
          <w:u w:val="single"/>
        </w:rPr>
        <w:t xml:space="preserve">常州市天宁区政府采购中心         </w:t>
      </w:r>
    </w:p>
    <w:p w14:paraId="07F4A7AB">
      <w:pPr>
        <w:adjustRightInd w:val="0"/>
        <w:snapToGrid w:val="0"/>
        <w:spacing w:line="360" w:lineRule="auto"/>
        <w:ind w:firstLine="480" w:firstLineChars="200"/>
        <w:rPr>
          <w:rFonts w:ascii="楷体_GB2312" w:eastAsia="楷体_GB2312"/>
          <w:sz w:val="24"/>
          <w:u w:val="single"/>
        </w:rPr>
      </w:pPr>
      <w:r>
        <w:rPr>
          <w:rFonts w:hint="eastAsia" w:ascii="楷体_GB2312" w:eastAsia="楷体_GB2312"/>
          <w:sz w:val="24"/>
        </w:rPr>
        <w:t>单位地址：</w:t>
      </w:r>
      <w:r>
        <w:rPr>
          <w:rFonts w:hint="eastAsia" w:ascii="楷体_GB2312" w:eastAsia="楷体_GB2312"/>
          <w:sz w:val="24"/>
          <w:u w:val="single"/>
        </w:rPr>
        <w:t xml:space="preserve">常州市关河东路66号       </w:t>
      </w:r>
    </w:p>
    <w:p w14:paraId="2F72452C">
      <w:pPr>
        <w:adjustRightInd w:val="0"/>
        <w:snapToGrid w:val="0"/>
        <w:spacing w:line="360" w:lineRule="auto"/>
        <w:ind w:firstLine="480" w:firstLineChars="200"/>
        <w:rPr>
          <w:rFonts w:ascii="楷体_GB2312" w:eastAsia="楷体_GB2312"/>
          <w:sz w:val="24"/>
        </w:rPr>
      </w:pPr>
      <w:r>
        <w:rPr>
          <w:rFonts w:hint="eastAsia" w:ascii="楷体_GB2312" w:eastAsia="楷体_GB2312"/>
          <w:sz w:val="24"/>
        </w:rPr>
        <w:t xml:space="preserve">法定代表人：                         </w:t>
      </w:r>
    </w:p>
    <w:p w14:paraId="0810E404">
      <w:pPr>
        <w:adjustRightInd w:val="0"/>
        <w:snapToGrid w:val="0"/>
        <w:spacing w:line="360" w:lineRule="auto"/>
        <w:ind w:firstLine="480" w:firstLineChars="200"/>
        <w:rPr>
          <w:rFonts w:ascii="楷体_GB2312" w:eastAsia="楷体_GB2312"/>
          <w:sz w:val="24"/>
        </w:rPr>
      </w:pPr>
      <w:r>
        <w:rPr>
          <w:rFonts w:hint="eastAsia" w:ascii="楷体_GB2312" w:eastAsia="楷体_GB2312"/>
          <w:sz w:val="24"/>
        </w:rPr>
        <w:t xml:space="preserve">委托代理人：                </w:t>
      </w:r>
    </w:p>
    <w:p w14:paraId="518E0B9E">
      <w:pPr>
        <w:adjustRightInd w:val="0"/>
        <w:snapToGrid w:val="0"/>
        <w:spacing w:line="360" w:lineRule="auto"/>
        <w:ind w:firstLine="480" w:firstLineChars="200"/>
        <w:rPr>
          <w:rFonts w:ascii="楷体_GB2312" w:eastAsia="楷体_GB2312"/>
          <w:sz w:val="24"/>
        </w:rPr>
      </w:pPr>
      <w:r>
        <w:rPr>
          <w:rFonts w:hint="eastAsia" w:ascii="楷体_GB2312" w:eastAsia="楷体_GB2312"/>
          <w:sz w:val="24"/>
        </w:rPr>
        <w:t>经办人：</w:t>
      </w:r>
    </w:p>
    <w:p w14:paraId="3ADA3DFE">
      <w:pPr>
        <w:adjustRightInd w:val="0"/>
        <w:snapToGrid w:val="0"/>
        <w:spacing w:line="360" w:lineRule="auto"/>
        <w:ind w:firstLine="480" w:firstLineChars="200"/>
        <w:rPr>
          <w:rFonts w:ascii="楷体_GB2312" w:eastAsia="楷体_GB2312"/>
          <w:sz w:val="24"/>
        </w:rPr>
      </w:pPr>
      <w:r>
        <w:rPr>
          <w:rFonts w:hint="eastAsia" w:ascii="楷体_GB2312" w:eastAsia="楷体_GB2312"/>
          <w:sz w:val="24"/>
        </w:rPr>
        <w:t>电  话：</w:t>
      </w:r>
    </w:p>
    <w:p w14:paraId="08E72013">
      <w:pPr>
        <w:snapToGrid w:val="0"/>
        <w:rPr>
          <w:rFonts w:ascii="仿宋_GB2312" w:eastAsia="仿宋_GB2312"/>
          <w:b/>
          <w:sz w:val="28"/>
          <w:szCs w:val="28"/>
        </w:rPr>
      </w:pPr>
    </w:p>
    <w:p w14:paraId="0D75481D">
      <w:pPr>
        <w:snapToGrid w:val="0"/>
        <w:rPr>
          <w:rFonts w:ascii="仿宋_GB2312" w:eastAsia="仿宋_GB2312"/>
          <w:b/>
          <w:sz w:val="28"/>
          <w:szCs w:val="28"/>
        </w:rPr>
      </w:pPr>
    </w:p>
    <w:p w14:paraId="011791FE">
      <w:pPr>
        <w:snapToGrid w:val="0"/>
        <w:rPr>
          <w:rFonts w:ascii="仿宋_GB2312" w:eastAsia="仿宋_GB2312"/>
          <w:b/>
          <w:sz w:val="28"/>
          <w:szCs w:val="28"/>
        </w:rPr>
      </w:pPr>
    </w:p>
    <w:p w14:paraId="1A3FE4AC">
      <w:pPr>
        <w:snapToGrid w:val="0"/>
        <w:rPr>
          <w:rFonts w:ascii="仿宋_GB2312" w:eastAsia="仿宋_GB2312"/>
          <w:b/>
          <w:sz w:val="28"/>
          <w:szCs w:val="28"/>
        </w:rPr>
      </w:pPr>
    </w:p>
    <w:p w14:paraId="372E2D3D">
      <w:pPr>
        <w:snapToGrid w:val="0"/>
        <w:rPr>
          <w:rFonts w:ascii="仿宋_GB2312" w:eastAsia="仿宋_GB2312"/>
          <w:b/>
          <w:sz w:val="28"/>
          <w:szCs w:val="28"/>
        </w:rPr>
      </w:pPr>
    </w:p>
    <w:p w14:paraId="6A4631D5">
      <w:pPr>
        <w:snapToGrid w:val="0"/>
        <w:rPr>
          <w:rFonts w:ascii="仿宋_GB2312" w:eastAsia="仿宋_GB2312"/>
          <w:b/>
          <w:sz w:val="28"/>
          <w:szCs w:val="28"/>
        </w:rPr>
      </w:pPr>
    </w:p>
    <w:p w14:paraId="337EEFE9">
      <w:pPr>
        <w:snapToGrid w:val="0"/>
        <w:rPr>
          <w:rFonts w:ascii="仿宋_GB2312" w:eastAsia="仿宋_GB2312"/>
          <w:b/>
          <w:sz w:val="28"/>
          <w:szCs w:val="28"/>
        </w:rPr>
      </w:pPr>
    </w:p>
    <w:p w14:paraId="6590C1A4">
      <w:pPr>
        <w:snapToGrid w:val="0"/>
        <w:rPr>
          <w:rFonts w:ascii="仿宋_GB2312" w:eastAsia="仿宋_GB2312"/>
          <w:b/>
          <w:sz w:val="28"/>
          <w:szCs w:val="28"/>
        </w:rPr>
      </w:pPr>
    </w:p>
    <w:p w14:paraId="04D41839">
      <w:pPr>
        <w:snapToGrid w:val="0"/>
        <w:rPr>
          <w:rFonts w:ascii="仿宋_GB2312" w:eastAsia="仿宋_GB2312"/>
          <w:b/>
          <w:sz w:val="28"/>
          <w:szCs w:val="28"/>
        </w:rPr>
      </w:pPr>
    </w:p>
    <w:p w14:paraId="143E4106">
      <w:pPr>
        <w:snapToGrid w:val="0"/>
        <w:rPr>
          <w:rFonts w:ascii="仿宋_GB2312" w:eastAsia="仿宋_GB2312"/>
          <w:b/>
          <w:sz w:val="28"/>
          <w:szCs w:val="28"/>
        </w:rPr>
      </w:pPr>
    </w:p>
    <w:p w14:paraId="62D9AB32">
      <w:pPr>
        <w:snapToGrid w:val="0"/>
        <w:rPr>
          <w:rFonts w:ascii="仿宋_GB2312" w:eastAsia="仿宋_GB2312"/>
          <w:b/>
          <w:sz w:val="28"/>
          <w:szCs w:val="28"/>
        </w:rPr>
      </w:pPr>
    </w:p>
    <w:p w14:paraId="2AE15E20">
      <w:pPr>
        <w:snapToGrid w:val="0"/>
        <w:rPr>
          <w:rFonts w:ascii="仿宋_GB2312" w:eastAsia="仿宋_GB2312"/>
          <w:b/>
          <w:sz w:val="28"/>
          <w:szCs w:val="28"/>
        </w:rPr>
      </w:pPr>
    </w:p>
    <w:p w14:paraId="3DF7101C">
      <w:pPr>
        <w:snapToGrid w:val="0"/>
        <w:rPr>
          <w:rFonts w:ascii="仿宋_GB2312" w:eastAsia="仿宋_GB2312"/>
          <w:b/>
          <w:sz w:val="28"/>
          <w:szCs w:val="28"/>
        </w:rPr>
      </w:pPr>
    </w:p>
    <w:p w14:paraId="526188E7">
      <w:pPr>
        <w:snapToGrid w:val="0"/>
        <w:rPr>
          <w:rFonts w:ascii="仿宋_GB2312" w:eastAsia="仿宋_GB2312"/>
          <w:b/>
          <w:sz w:val="28"/>
          <w:szCs w:val="28"/>
        </w:rPr>
      </w:pPr>
    </w:p>
    <w:p w14:paraId="33D00CE8">
      <w:pPr>
        <w:snapToGrid w:val="0"/>
        <w:rPr>
          <w:rFonts w:ascii="仿宋_GB2312" w:eastAsia="仿宋_GB2312"/>
          <w:b/>
          <w:sz w:val="28"/>
          <w:szCs w:val="28"/>
        </w:rPr>
      </w:pPr>
    </w:p>
    <w:p w14:paraId="3510F895">
      <w:pPr>
        <w:snapToGrid w:val="0"/>
        <w:rPr>
          <w:rFonts w:ascii="仿宋_GB2312" w:eastAsia="仿宋_GB2312"/>
          <w:b/>
          <w:sz w:val="28"/>
          <w:szCs w:val="28"/>
        </w:rPr>
      </w:pPr>
    </w:p>
    <w:p w14:paraId="401E3F77">
      <w:pPr>
        <w:snapToGrid w:val="0"/>
        <w:rPr>
          <w:rFonts w:ascii="仿宋_GB2312" w:eastAsia="仿宋_GB2312"/>
          <w:b/>
          <w:sz w:val="28"/>
          <w:szCs w:val="28"/>
        </w:rPr>
      </w:pPr>
    </w:p>
    <w:p w14:paraId="7D841E5A">
      <w:pPr>
        <w:snapToGrid w:val="0"/>
        <w:rPr>
          <w:rFonts w:ascii="仿宋_GB2312" w:eastAsia="仿宋_GB2312"/>
          <w:b/>
          <w:sz w:val="28"/>
          <w:szCs w:val="28"/>
        </w:rPr>
      </w:pPr>
    </w:p>
    <w:p w14:paraId="4788F233">
      <w:pPr>
        <w:snapToGrid w:val="0"/>
        <w:rPr>
          <w:rFonts w:ascii="仿宋_GB2312" w:eastAsia="仿宋_GB2312"/>
          <w:b/>
          <w:sz w:val="28"/>
          <w:szCs w:val="28"/>
        </w:rPr>
      </w:pPr>
    </w:p>
    <w:p w14:paraId="3BCD0C74">
      <w:pPr>
        <w:snapToGrid w:val="0"/>
        <w:rPr>
          <w:rFonts w:ascii="仿宋_GB2312" w:eastAsia="仿宋_GB2312"/>
          <w:b/>
          <w:sz w:val="28"/>
          <w:szCs w:val="28"/>
        </w:rPr>
      </w:pPr>
    </w:p>
    <w:p w14:paraId="4AA85F08">
      <w:pPr>
        <w:snapToGrid w:val="0"/>
        <w:rPr>
          <w:rFonts w:ascii="仿宋_GB2312" w:eastAsia="仿宋_GB2312"/>
          <w:b/>
          <w:sz w:val="28"/>
          <w:szCs w:val="28"/>
        </w:rPr>
      </w:pPr>
    </w:p>
    <w:p w14:paraId="7CB60892">
      <w:pPr>
        <w:snapToGrid w:val="0"/>
        <w:rPr>
          <w:rFonts w:ascii="仿宋_GB2312" w:eastAsia="仿宋_GB2312"/>
          <w:b/>
          <w:sz w:val="28"/>
          <w:szCs w:val="28"/>
        </w:rPr>
      </w:pPr>
    </w:p>
    <w:p w14:paraId="57D98397">
      <w:pPr>
        <w:snapToGrid w:val="0"/>
        <w:rPr>
          <w:rFonts w:ascii="仿宋_GB2312" w:eastAsia="仿宋_GB2312"/>
          <w:b/>
          <w:sz w:val="28"/>
          <w:szCs w:val="28"/>
        </w:rPr>
      </w:pPr>
    </w:p>
    <w:p w14:paraId="3DFBC67D">
      <w:pPr>
        <w:snapToGrid w:val="0"/>
        <w:rPr>
          <w:rFonts w:ascii="仿宋_GB2312" w:eastAsia="仿宋_GB2312"/>
          <w:b/>
          <w:sz w:val="28"/>
          <w:szCs w:val="28"/>
        </w:rPr>
      </w:pPr>
    </w:p>
    <w:p w14:paraId="1A7D547E">
      <w:pPr>
        <w:snapToGrid w:val="0"/>
        <w:rPr>
          <w:rFonts w:ascii="仿宋_GB2312" w:eastAsia="仿宋_GB2312"/>
          <w:b/>
          <w:sz w:val="28"/>
          <w:szCs w:val="28"/>
        </w:rPr>
      </w:pPr>
    </w:p>
    <w:p w14:paraId="70D9ACDD">
      <w:pPr>
        <w:snapToGrid w:val="0"/>
        <w:rPr>
          <w:rFonts w:ascii="仿宋_GB2312" w:eastAsia="仿宋_GB2312"/>
          <w:b/>
          <w:sz w:val="28"/>
          <w:szCs w:val="28"/>
        </w:rPr>
      </w:pPr>
    </w:p>
    <w:p w14:paraId="5C7A3555">
      <w:pPr>
        <w:snapToGrid w:val="0"/>
        <w:rPr>
          <w:rFonts w:ascii="仿宋_GB2312" w:eastAsia="仿宋_GB2312"/>
          <w:b/>
          <w:sz w:val="28"/>
          <w:szCs w:val="28"/>
        </w:rPr>
      </w:pPr>
    </w:p>
    <w:p w14:paraId="369C7F3D">
      <w:pPr>
        <w:snapToGrid w:val="0"/>
        <w:rPr>
          <w:rFonts w:ascii="仿宋_GB2312" w:eastAsia="仿宋_GB2312"/>
          <w:b/>
          <w:sz w:val="28"/>
          <w:szCs w:val="28"/>
        </w:rPr>
      </w:pPr>
    </w:p>
    <w:p w14:paraId="15E15A0A">
      <w:pPr>
        <w:snapToGrid w:val="0"/>
        <w:rPr>
          <w:rFonts w:ascii="仿宋_GB2312" w:eastAsia="仿宋_GB2312"/>
          <w:b/>
          <w:sz w:val="28"/>
          <w:szCs w:val="28"/>
        </w:rPr>
      </w:pPr>
    </w:p>
    <w:p w14:paraId="37559D20">
      <w:pPr>
        <w:snapToGrid w:val="0"/>
        <w:rPr>
          <w:rFonts w:ascii="仿宋_GB2312" w:eastAsia="仿宋_GB2312"/>
          <w:b/>
          <w:sz w:val="28"/>
          <w:szCs w:val="28"/>
        </w:rPr>
      </w:pPr>
      <w:r>
        <w:rPr>
          <w:rFonts w:hint="eastAsia" w:ascii="仿宋_GB2312" w:eastAsia="仿宋_GB2312"/>
          <w:b/>
          <w:sz w:val="28"/>
          <w:szCs w:val="28"/>
        </w:rPr>
        <w:t>附件五：</w:t>
      </w:r>
    </w:p>
    <w:p w14:paraId="11FEE9F9">
      <w:pPr>
        <w:snapToGrid w:val="0"/>
        <w:spacing w:line="360" w:lineRule="auto"/>
        <w:jc w:val="center"/>
        <w:rPr>
          <w:rFonts w:ascii="仿宋_GB2312" w:hAnsi="华文仿宋" w:eastAsia="仿宋_GB2312"/>
          <w:b/>
          <w:bCs/>
          <w:sz w:val="28"/>
        </w:rPr>
      </w:pPr>
      <w:r>
        <w:rPr>
          <w:rFonts w:hint="eastAsia" w:ascii="仿宋_GB2312" w:hAnsi="华文仿宋" w:eastAsia="仿宋_GB2312"/>
          <w:b/>
          <w:bCs/>
          <w:sz w:val="28"/>
        </w:rPr>
        <w:t>类似项目一览表</w:t>
      </w:r>
    </w:p>
    <w:p w14:paraId="0E67104E">
      <w:pPr>
        <w:snapToGrid w:val="0"/>
        <w:spacing w:line="360" w:lineRule="auto"/>
        <w:jc w:val="center"/>
        <w:rPr>
          <w:rFonts w:ascii="仿宋_GB2312" w:hAnsi="华文仿宋" w:eastAsia="仿宋_GB2312"/>
          <w:b/>
          <w:sz w:val="30"/>
          <w:szCs w:val="30"/>
        </w:rPr>
      </w:pPr>
    </w:p>
    <w:p w14:paraId="03BF6EA0">
      <w:pPr>
        <w:snapToGrid w:val="0"/>
        <w:spacing w:line="360" w:lineRule="auto"/>
        <w:rPr>
          <w:rFonts w:ascii="仿宋_GB2312" w:hAnsi="华文仿宋" w:eastAsia="仿宋_GB2312"/>
          <w:sz w:val="24"/>
        </w:rPr>
      </w:pPr>
      <w:r>
        <w:rPr>
          <w:rFonts w:hint="eastAsia" w:ascii="仿宋_GB2312" w:hAnsi="华文仿宋" w:eastAsia="仿宋_GB2312"/>
          <w:sz w:val="24"/>
        </w:rPr>
        <w:t>投标人名称（公章）：</w:t>
      </w:r>
    </w:p>
    <w:p w14:paraId="4BB0C368">
      <w:pPr>
        <w:snapToGrid w:val="0"/>
        <w:spacing w:line="360" w:lineRule="auto"/>
        <w:rPr>
          <w:rFonts w:ascii="仿宋_GB2312" w:hAnsi="华文仿宋" w:eastAsia="仿宋_GB2312"/>
          <w:sz w:val="24"/>
        </w:rPr>
      </w:pPr>
      <w:r>
        <w:rPr>
          <w:rFonts w:hint="eastAsia" w:ascii="仿宋_GB2312" w:hAnsi="华文仿宋" w:eastAsia="仿宋_GB2312"/>
          <w:sz w:val="24"/>
        </w:rPr>
        <w:t>招标编号：</w:t>
      </w:r>
    </w:p>
    <w:p w14:paraId="1197BE3B">
      <w:pPr>
        <w:snapToGrid w:val="0"/>
        <w:spacing w:line="360" w:lineRule="auto"/>
        <w:jc w:val="right"/>
        <w:rPr>
          <w:rFonts w:ascii="仿宋_GB2312" w:hAnsi="华文仿宋" w:eastAsia="仿宋_GB2312"/>
          <w:sz w:val="24"/>
        </w:rPr>
      </w:pPr>
      <w:r>
        <w:rPr>
          <w:rFonts w:hint="eastAsia" w:ascii="仿宋_GB2312" w:hAnsi="华文仿宋" w:eastAsia="仿宋_GB2312"/>
          <w:sz w:val="24"/>
        </w:rPr>
        <w:t>单位：人民币（万元）</w:t>
      </w:r>
    </w:p>
    <w:tbl>
      <w:tblPr>
        <w:tblStyle w:val="27"/>
        <w:tblW w:w="5000" w:type="pct"/>
        <w:jc w:val="center"/>
        <w:tblLayout w:type="autofit"/>
        <w:tblCellMar>
          <w:top w:w="0" w:type="dxa"/>
          <w:left w:w="108" w:type="dxa"/>
          <w:bottom w:w="0" w:type="dxa"/>
          <w:right w:w="108" w:type="dxa"/>
        </w:tblCellMar>
      </w:tblPr>
      <w:tblGrid>
        <w:gridCol w:w="794"/>
        <w:gridCol w:w="1606"/>
        <w:gridCol w:w="1597"/>
        <w:gridCol w:w="1198"/>
        <w:gridCol w:w="1730"/>
        <w:gridCol w:w="1597"/>
      </w:tblGrid>
      <w:tr w14:paraId="7F0EAAC4">
        <w:tblPrEx>
          <w:tblCellMar>
            <w:top w:w="0" w:type="dxa"/>
            <w:left w:w="108" w:type="dxa"/>
            <w:bottom w:w="0" w:type="dxa"/>
            <w:right w:w="108" w:type="dxa"/>
          </w:tblCellMar>
        </w:tblPrEx>
        <w:trPr>
          <w:jc w:val="center"/>
        </w:trPr>
        <w:tc>
          <w:tcPr>
            <w:tcW w:w="466" w:type="pct"/>
            <w:tcBorders>
              <w:top w:val="single" w:color="auto" w:sz="6" w:space="0"/>
              <w:left w:val="single" w:color="auto" w:sz="6" w:space="0"/>
              <w:bottom w:val="single" w:color="auto" w:sz="6" w:space="0"/>
              <w:right w:val="single" w:color="auto" w:sz="6" w:space="0"/>
            </w:tcBorders>
            <w:vAlign w:val="center"/>
          </w:tcPr>
          <w:p w14:paraId="37376049">
            <w:pPr>
              <w:tabs>
                <w:tab w:val="left" w:pos="9765"/>
              </w:tabs>
              <w:autoSpaceDE w:val="0"/>
              <w:autoSpaceDN w:val="0"/>
              <w:adjustRightInd w:val="0"/>
              <w:snapToGrid w:val="0"/>
              <w:spacing w:line="360" w:lineRule="auto"/>
              <w:jc w:val="center"/>
              <w:rPr>
                <w:rFonts w:ascii="仿宋_GB2312" w:hAnsi="华文仿宋" w:eastAsia="仿宋_GB2312"/>
                <w:szCs w:val="21"/>
                <w:lang w:val="zh-CN"/>
              </w:rPr>
            </w:pPr>
            <w:r>
              <w:rPr>
                <w:rFonts w:hint="eastAsia" w:ascii="仿宋_GB2312" w:hAnsi="华文仿宋" w:eastAsia="仿宋_GB2312"/>
                <w:szCs w:val="21"/>
                <w:lang w:val="zh-CN"/>
              </w:rPr>
              <w:t>日期</w:t>
            </w:r>
          </w:p>
        </w:tc>
        <w:tc>
          <w:tcPr>
            <w:tcW w:w="942" w:type="pct"/>
            <w:tcBorders>
              <w:top w:val="single" w:color="auto" w:sz="6" w:space="0"/>
              <w:left w:val="single" w:color="auto" w:sz="6" w:space="0"/>
              <w:bottom w:val="single" w:color="auto" w:sz="6" w:space="0"/>
              <w:right w:val="single" w:color="auto" w:sz="6" w:space="0"/>
            </w:tcBorders>
            <w:vAlign w:val="center"/>
          </w:tcPr>
          <w:p w14:paraId="43A3DDE5">
            <w:pPr>
              <w:tabs>
                <w:tab w:val="left" w:pos="9765"/>
              </w:tabs>
              <w:autoSpaceDE w:val="0"/>
              <w:autoSpaceDN w:val="0"/>
              <w:adjustRightInd w:val="0"/>
              <w:snapToGrid w:val="0"/>
              <w:spacing w:line="360" w:lineRule="auto"/>
              <w:jc w:val="center"/>
              <w:rPr>
                <w:rFonts w:ascii="仿宋_GB2312" w:hAnsi="华文仿宋" w:eastAsia="仿宋_GB2312"/>
                <w:szCs w:val="21"/>
                <w:lang w:val="zh-CN"/>
              </w:rPr>
            </w:pPr>
            <w:r>
              <w:rPr>
                <w:rFonts w:hint="eastAsia" w:ascii="仿宋_GB2312" w:hAnsi="华文仿宋" w:eastAsia="仿宋_GB2312"/>
                <w:szCs w:val="21"/>
                <w:lang w:val="zh-CN"/>
              </w:rPr>
              <w:t>项目建设单位</w:t>
            </w:r>
          </w:p>
        </w:tc>
        <w:tc>
          <w:tcPr>
            <w:tcW w:w="937" w:type="pct"/>
            <w:tcBorders>
              <w:top w:val="single" w:color="auto" w:sz="6" w:space="0"/>
              <w:left w:val="single" w:color="auto" w:sz="6" w:space="0"/>
              <w:bottom w:val="single" w:color="auto" w:sz="6" w:space="0"/>
              <w:right w:val="single" w:color="auto" w:sz="6" w:space="0"/>
            </w:tcBorders>
            <w:vAlign w:val="center"/>
          </w:tcPr>
          <w:p w14:paraId="0C2C56E0">
            <w:pPr>
              <w:tabs>
                <w:tab w:val="left" w:pos="9765"/>
              </w:tabs>
              <w:autoSpaceDE w:val="0"/>
              <w:autoSpaceDN w:val="0"/>
              <w:adjustRightInd w:val="0"/>
              <w:snapToGrid w:val="0"/>
              <w:spacing w:line="360" w:lineRule="auto"/>
              <w:jc w:val="center"/>
              <w:rPr>
                <w:rFonts w:ascii="仿宋_GB2312" w:hAnsi="华文仿宋" w:eastAsia="仿宋_GB2312"/>
                <w:szCs w:val="21"/>
                <w:lang w:val="zh-CN"/>
              </w:rPr>
            </w:pPr>
            <w:r>
              <w:rPr>
                <w:rFonts w:hint="eastAsia" w:ascii="仿宋_GB2312" w:hAnsi="华文仿宋" w:eastAsia="仿宋_GB2312"/>
                <w:szCs w:val="21"/>
                <w:lang w:val="zh-CN"/>
              </w:rPr>
              <w:t>项目名称</w:t>
            </w:r>
          </w:p>
        </w:tc>
        <w:tc>
          <w:tcPr>
            <w:tcW w:w="703" w:type="pct"/>
            <w:tcBorders>
              <w:top w:val="single" w:color="auto" w:sz="6" w:space="0"/>
              <w:left w:val="single" w:color="auto" w:sz="6" w:space="0"/>
              <w:bottom w:val="single" w:color="auto" w:sz="6" w:space="0"/>
              <w:right w:val="single" w:color="auto" w:sz="6" w:space="0"/>
            </w:tcBorders>
            <w:vAlign w:val="center"/>
          </w:tcPr>
          <w:p w14:paraId="1E405973">
            <w:pPr>
              <w:tabs>
                <w:tab w:val="left" w:pos="9765"/>
              </w:tabs>
              <w:autoSpaceDE w:val="0"/>
              <w:autoSpaceDN w:val="0"/>
              <w:adjustRightInd w:val="0"/>
              <w:snapToGrid w:val="0"/>
              <w:spacing w:line="360" w:lineRule="auto"/>
              <w:jc w:val="center"/>
              <w:rPr>
                <w:rFonts w:ascii="仿宋_GB2312" w:hAnsi="华文仿宋" w:eastAsia="仿宋_GB2312"/>
                <w:szCs w:val="21"/>
                <w:lang w:val="zh-CN"/>
              </w:rPr>
            </w:pPr>
            <w:r>
              <w:rPr>
                <w:rFonts w:hint="eastAsia" w:ascii="仿宋_GB2312" w:hAnsi="华文仿宋" w:eastAsia="仿宋_GB2312"/>
                <w:szCs w:val="21"/>
                <w:lang w:val="zh-CN"/>
              </w:rPr>
              <w:t>合同金额</w:t>
            </w:r>
          </w:p>
        </w:tc>
        <w:tc>
          <w:tcPr>
            <w:tcW w:w="1015" w:type="pct"/>
            <w:tcBorders>
              <w:top w:val="single" w:color="auto" w:sz="6" w:space="0"/>
              <w:left w:val="single" w:color="auto" w:sz="6" w:space="0"/>
              <w:bottom w:val="single" w:color="auto" w:sz="6" w:space="0"/>
              <w:right w:val="single" w:color="auto" w:sz="6" w:space="0"/>
            </w:tcBorders>
            <w:vAlign w:val="center"/>
          </w:tcPr>
          <w:p w14:paraId="7362CD2D">
            <w:pPr>
              <w:tabs>
                <w:tab w:val="left" w:pos="9765"/>
              </w:tabs>
              <w:autoSpaceDE w:val="0"/>
              <w:autoSpaceDN w:val="0"/>
              <w:adjustRightInd w:val="0"/>
              <w:snapToGrid w:val="0"/>
              <w:spacing w:line="360" w:lineRule="auto"/>
              <w:ind w:hanging="523"/>
              <w:jc w:val="center"/>
              <w:rPr>
                <w:rFonts w:ascii="仿宋_GB2312" w:hAnsi="华文仿宋" w:eastAsia="仿宋_GB2312"/>
                <w:szCs w:val="21"/>
                <w:lang w:val="zh-CN"/>
              </w:rPr>
            </w:pPr>
            <w:r>
              <w:rPr>
                <w:rFonts w:hint="eastAsia" w:ascii="仿宋_GB2312" w:hAnsi="华文仿宋" w:eastAsia="仿宋_GB2312"/>
                <w:szCs w:val="21"/>
                <w:lang w:val="zh-CN"/>
              </w:rPr>
              <w:t xml:space="preserve">  单位地址     </w:t>
            </w:r>
          </w:p>
        </w:tc>
        <w:tc>
          <w:tcPr>
            <w:tcW w:w="937" w:type="pct"/>
            <w:tcBorders>
              <w:top w:val="single" w:color="auto" w:sz="6" w:space="0"/>
              <w:left w:val="single" w:color="auto" w:sz="6" w:space="0"/>
              <w:bottom w:val="single" w:color="auto" w:sz="6" w:space="0"/>
              <w:right w:val="single" w:color="auto" w:sz="6" w:space="0"/>
            </w:tcBorders>
            <w:vAlign w:val="center"/>
          </w:tcPr>
          <w:p w14:paraId="5DEE04D9">
            <w:pPr>
              <w:tabs>
                <w:tab w:val="left" w:pos="9765"/>
              </w:tabs>
              <w:autoSpaceDE w:val="0"/>
              <w:autoSpaceDN w:val="0"/>
              <w:adjustRightInd w:val="0"/>
              <w:snapToGrid w:val="0"/>
              <w:spacing w:line="360" w:lineRule="auto"/>
              <w:ind w:hanging="523"/>
              <w:rPr>
                <w:rFonts w:ascii="仿宋_GB2312" w:hAnsi="华文仿宋" w:eastAsia="仿宋_GB2312"/>
                <w:szCs w:val="21"/>
                <w:lang w:val="zh-CN"/>
              </w:rPr>
            </w:pPr>
            <w:r>
              <w:rPr>
                <w:rFonts w:hint="eastAsia" w:ascii="仿宋_GB2312" w:hAnsi="华文仿宋" w:eastAsia="仿宋_GB2312"/>
                <w:szCs w:val="21"/>
                <w:lang w:val="zh-CN"/>
              </w:rPr>
              <w:t xml:space="preserve">      联系电话（固定电话）</w:t>
            </w:r>
          </w:p>
        </w:tc>
      </w:tr>
      <w:tr w14:paraId="462969FA">
        <w:tblPrEx>
          <w:tblCellMar>
            <w:top w:w="0" w:type="dxa"/>
            <w:left w:w="108" w:type="dxa"/>
            <w:bottom w:w="0" w:type="dxa"/>
            <w:right w:w="108" w:type="dxa"/>
          </w:tblCellMar>
        </w:tblPrEx>
        <w:trPr>
          <w:jc w:val="center"/>
        </w:trPr>
        <w:tc>
          <w:tcPr>
            <w:tcW w:w="466" w:type="pct"/>
            <w:tcBorders>
              <w:top w:val="single" w:color="auto" w:sz="6" w:space="0"/>
              <w:left w:val="single" w:color="auto" w:sz="6" w:space="0"/>
              <w:bottom w:val="single" w:color="auto" w:sz="6" w:space="0"/>
              <w:right w:val="single" w:color="auto" w:sz="6" w:space="0"/>
            </w:tcBorders>
            <w:vAlign w:val="center"/>
          </w:tcPr>
          <w:p w14:paraId="559EBADF">
            <w:pPr>
              <w:tabs>
                <w:tab w:val="left" w:pos="9765"/>
              </w:tabs>
              <w:autoSpaceDE w:val="0"/>
              <w:autoSpaceDN w:val="0"/>
              <w:adjustRightInd w:val="0"/>
              <w:snapToGrid w:val="0"/>
              <w:spacing w:line="360" w:lineRule="auto"/>
              <w:jc w:val="center"/>
              <w:rPr>
                <w:rFonts w:ascii="仿宋_GB2312" w:hAnsi="华文仿宋" w:eastAsia="仿宋_GB2312"/>
                <w:szCs w:val="21"/>
              </w:rPr>
            </w:pPr>
          </w:p>
        </w:tc>
        <w:tc>
          <w:tcPr>
            <w:tcW w:w="942" w:type="pct"/>
            <w:tcBorders>
              <w:top w:val="single" w:color="auto" w:sz="6" w:space="0"/>
              <w:left w:val="single" w:color="auto" w:sz="6" w:space="0"/>
              <w:bottom w:val="single" w:color="auto" w:sz="6" w:space="0"/>
              <w:right w:val="single" w:color="auto" w:sz="6" w:space="0"/>
            </w:tcBorders>
            <w:vAlign w:val="center"/>
          </w:tcPr>
          <w:p w14:paraId="46F85A96">
            <w:pPr>
              <w:tabs>
                <w:tab w:val="left" w:pos="9765"/>
              </w:tabs>
              <w:autoSpaceDE w:val="0"/>
              <w:autoSpaceDN w:val="0"/>
              <w:adjustRightInd w:val="0"/>
              <w:snapToGrid w:val="0"/>
              <w:spacing w:line="360" w:lineRule="auto"/>
              <w:jc w:val="center"/>
              <w:rPr>
                <w:rFonts w:ascii="仿宋_GB2312" w:hAnsi="华文仿宋" w:eastAsia="仿宋_GB2312"/>
                <w:szCs w:val="21"/>
              </w:rPr>
            </w:pPr>
          </w:p>
        </w:tc>
        <w:tc>
          <w:tcPr>
            <w:tcW w:w="937" w:type="pct"/>
            <w:tcBorders>
              <w:top w:val="single" w:color="auto" w:sz="6" w:space="0"/>
              <w:left w:val="single" w:color="auto" w:sz="6" w:space="0"/>
              <w:bottom w:val="single" w:color="auto" w:sz="6" w:space="0"/>
              <w:right w:val="single" w:color="auto" w:sz="6" w:space="0"/>
            </w:tcBorders>
            <w:vAlign w:val="center"/>
          </w:tcPr>
          <w:p w14:paraId="3117BCE0">
            <w:pPr>
              <w:tabs>
                <w:tab w:val="left" w:pos="9765"/>
              </w:tabs>
              <w:autoSpaceDE w:val="0"/>
              <w:autoSpaceDN w:val="0"/>
              <w:adjustRightInd w:val="0"/>
              <w:snapToGrid w:val="0"/>
              <w:spacing w:line="360" w:lineRule="auto"/>
              <w:jc w:val="center"/>
              <w:rPr>
                <w:rFonts w:ascii="仿宋_GB2312" w:hAnsi="华文仿宋" w:eastAsia="仿宋_GB2312"/>
                <w:szCs w:val="21"/>
              </w:rPr>
            </w:pPr>
          </w:p>
        </w:tc>
        <w:tc>
          <w:tcPr>
            <w:tcW w:w="703" w:type="pct"/>
            <w:tcBorders>
              <w:top w:val="single" w:color="auto" w:sz="6" w:space="0"/>
              <w:left w:val="single" w:color="auto" w:sz="6" w:space="0"/>
              <w:bottom w:val="single" w:color="auto" w:sz="6" w:space="0"/>
              <w:right w:val="single" w:color="auto" w:sz="6" w:space="0"/>
            </w:tcBorders>
            <w:vAlign w:val="center"/>
          </w:tcPr>
          <w:p w14:paraId="6D1BB821">
            <w:pPr>
              <w:tabs>
                <w:tab w:val="left" w:pos="9765"/>
              </w:tabs>
              <w:autoSpaceDE w:val="0"/>
              <w:autoSpaceDN w:val="0"/>
              <w:adjustRightInd w:val="0"/>
              <w:snapToGrid w:val="0"/>
              <w:spacing w:line="360" w:lineRule="auto"/>
              <w:jc w:val="center"/>
              <w:rPr>
                <w:rFonts w:ascii="仿宋_GB2312" w:hAnsi="华文仿宋" w:eastAsia="仿宋_GB2312"/>
                <w:szCs w:val="21"/>
              </w:rPr>
            </w:pPr>
          </w:p>
        </w:tc>
        <w:tc>
          <w:tcPr>
            <w:tcW w:w="1015" w:type="pct"/>
            <w:tcBorders>
              <w:top w:val="single" w:color="auto" w:sz="6" w:space="0"/>
              <w:left w:val="single" w:color="auto" w:sz="6" w:space="0"/>
              <w:bottom w:val="single" w:color="auto" w:sz="6" w:space="0"/>
              <w:right w:val="single" w:color="auto" w:sz="6" w:space="0"/>
            </w:tcBorders>
            <w:vAlign w:val="center"/>
          </w:tcPr>
          <w:p w14:paraId="51C10461">
            <w:pPr>
              <w:tabs>
                <w:tab w:val="left" w:pos="9765"/>
              </w:tabs>
              <w:autoSpaceDE w:val="0"/>
              <w:autoSpaceDN w:val="0"/>
              <w:adjustRightInd w:val="0"/>
              <w:snapToGrid w:val="0"/>
              <w:spacing w:line="360" w:lineRule="auto"/>
              <w:ind w:hanging="523"/>
              <w:jc w:val="center"/>
              <w:rPr>
                <w:rFonts w:ascii="仿宋_GB2312" w:hAnsi="华文仿宋" w:eastAsia="仿宋_GB2312"/>
                <w:szCs w:val="21"/>
              </w:rPr>
            </w:pPr>
          </w:p>
        </w:tc>
        <w:tc>
          <w:tcPr>
            <w:tcW w:w="937" w:type="pct"/>
            <w:tcBorders>
              <w:top w:val="single" w:color="auto" w:sz="6" w:space="0"/>
              <w:left w:val="single" w:color="auto" w:sz="6" w:space="0"/>
              <w:bottom w:val="single" w:color="auto" w:sz="6" w:space="0"/>
              <w:right w:val="single" w:color="auto" w:sz="6" w:space="0"/>
            </w:tcBorders>
            <w:vAlign w:val="center"/>
          </w:tcPr>
          <w:p w14:paraId="78976A2F">
            <w:pPr>
              <w:tabs>
                <w:tab w:val="left" w:pos="9765"/>
              </w:tabs>
              <w:autoSpaceDE w:val="0"/>
              <w:autoSpaceDN w:val="0"/>
              <w:adjustRightInd w:val="0"/>
              <w:snapToGrid w:val="0"/>
              <w:spacing w:line="360" w:lineRule="auto"/>
              <w:ind w:hanging="523"/>
              <w:jc w:val="center"/>
              <w:rPr>
                <w:rFonts w:ascii="仿宋_GB2312" w:hAnsi="华文仿宋" w:eastAsia="仿宋_GB2312"/>
                <w:szCs w:val="21"/>
              </w:rPr>
            </w:pPr>
          </w:p>
        </w:tc>
      </w:tr>
      <w:tr w14:paraId="005B8F3B">
        <w:tblPrEx>
          <w:tblCellMar>
            <w:top w:w="0" w:type="dxa"/>
            <w:left w:w="108" w:type="dxa"/>
            <w:bottom w:w="0" w:type="dxa"/>
            <w:right w:w="108" w:type="dxa"/>
          </w:tblCellMar>
        </w:tblPrEx>
        <w:trPr>
          <w:jc w:val="center"/>
        </w:trPr>
        <w:tc>
          <w:tcPr>
            <w:tcW w:w="466" w:type="pct"/>
            <w:tcBorders>
              <w:top w:val="single" w:color="auto" w:sz="6" w:space="0"/>
              <w:left w:val="single" w:color="auto" w:sz="6" w:space="0"/>
              <w:bottom w:val="single" w:color="auto" w:sz="6" w:space="0"/>
              <w:right w:val="single" w:color="auto" w:sz="6" w:space="0"/>
            </w:tcBorders>
          </w:tcPr>
          <w:p w14:paraId="2AFAED7E">
            <w:pPr>
              <w:tabs>
                <w:tab w:val="left" w:pos="9765"/>
              </w:tabs>
              <w:autoSpaceDE w:val="0"/>
              <w:autoSpaceDN w:val="0"/>
              <w:adjustRightInd w:val="0"/>
              <w:snapToGrid w:val="0"/>
              <w:spacing w:line="360" w:lineRule="auto"/>
              <w:rPr>
                <w:rFonts w:ascii="仿宋_GB2312" w:hAnsi="华文仿宋" w:eastAsia="仿宋_GB2312"/>
                <w:szCs w:val="21"/>
              </w:rPr>
            </w:pPr>
          </w:p>
        </w:tc>
        <w:tc>
          <w:tcPr>
            <w:tcW w:w="942" w:type="pct"/>
            <w:tcBorders>
              <w:top w:val="single" w:color="auto" w:sz="6" w:space="0"/>
              <w:left w:val="single" w:color="auto" w:sz="6" w:space="0"/>
              <w:bottom w:val="single" w:color="auto" w:sz="6" w:space="0"/>
              <w:right w:val="single" w:color="auto" w:sz="6" w:space="0"/>
            </w:tcBorders>
          </w:tcPr>
          <w:p w14:paraId="1FC56354">
            <w:pPr>
              <w:tabs>
                <w:tab w:val="left" w:pos="9765"/>
              </w:tabs>
              <w:autoSpaceDE w:val="0"/>
              <w:autoSpaceDN w:val="0"/>
              <w:adjustRightInd w:val="0"/>
              <w:snapToGrid w:val="0"/>
              <w:spacing w:line="360" w:lineRule="auto"/>
              <w:rPr>
                <w:rFonts w:ascii="仿宋_GB2312" w:hAnsi="华文仿宋" w:eastAsia="仿宋_GB2312"/>
                <w:szCs w:val="21"/>
              </w:rPr>
            </w:pPr>
          </w:p>
        </w:tc>
        <w:tc>
          <w:tcPr>
            <w:tcW w:w="937" w:type="pct"/>
            <w:tcBorders>
              <w:top w:val="single" w:color="auto" w:sz="6" w:space="0"/>
              <w:left w:val="single" w:color="auto" w:sz="6" w:space="0"/>
              <w:bottom w:val="single" w:color="auto" w:sz="6" w:space="0"/>
              <w:right w:val="single" w:color="auto" w:sz="6" w:space="0"/>
            </w:tcBorders>
          </w:tcPr>
          <w:p w14:paraId="5A31BA8A">
            <w:pPr>
              <w:tabs>
                <w:tab w:val="left" w:pos="9765"/>
              </w:tabs>
              <w:autoSpaceDE w:val="0"/>
              <w:autoSpaceDN w:val="0"/>
              <w:adjustRightInd w:val="0"/>
              <w:snapToGrid w:val="0"/>
              <w:spacing w:line="360" w:lineRule="auto"/>
              <w:rPr>
                <w:rFonts w:ascii="仿宋_GB2312" w:hAnsi="华文仿宋" w:eastAsia="仿宋_GB2312"/>
                <w:szCs w:val="21"/>
              </w:rPr>
            </w:pPr>
          </w:p>
        </w:tc>
        <w:tc>
          <w:tcPr>
            <w:tcW w:w="703" w:type="pct"/>
            <w:tcBorders>
              <w:top w:val="single" w:color="auto" w:sz="6" w:space="0"/>
              <w:left w:val="single" w:color="auto" w:sz="6" w:space="0"/>
              <w:bottom w:val="single" w:color="auto" w:sz="6" w:space="0"/>
              <w:right w:val="single" w:color="auto" w:sz="6" w:space="0"/>
            </w:tcBorders>
          </w:tcPr>
          <w:p w14:paraId="6B64CBD0">
            <w:pPr>
              <w:tabs>
                <w:tab w:val="left" w:pos="9765"/>
              </w:tabs>
              <w:autoSpaceDE w:val="0"/>
              <w:autoSpaceDN w:val="0"/>
              <w:adjustRightInd w:val="0"/>
              <w:snapToGrid w:val="0"/>
              <w:spacing w:line="360" w:lineRule="auto"/>
              <w:rPr>
                <w:rFonts w:ascii="仿宋_GB2312" w:hAnsi="华文仿宋" w:eastAsia="仿宋_GB2312"/>
                <w:szCs w:val="21"/>
              </w:rPr>
            </w:pPr>
          </w:p>
        </w:tc>
        <w:tc>
          <w:tcPr>
            <w:tcW w:w="1015" w:type="pct"/>
            <w:tcBorders>
              <w:top w:val="single" w:color="auto" w:sz="6" w:space="0"/>
              <w:left w:val="single" w:color="auto" w:sz="6" w:space="0"/>
              <w:bottom w:val="single" w:color="auto" w:sz="6" w:space="0"/>
              <w:right w:val="single" w:color="auto" w:sz="6" w:space="0"/>
            </w:tcBorders>
          </w:tcPr>
          <w:p w14:paraId="65334030">
            <w:pPr>
              <w:tabs>
                <w:tab w:val="left" w:pos="9765"/>
              </w:tabs>
              <w:autoSpaceDE w:val="0"/>
              <w:autoSpaceDN w:val="0"/>
              <w:adjustRightInd w:val="0"/>
              <w:snapToGrid w:val="0"/>
              <w:spacing w:line="360" w:lineRule="auto"/>
              <w:rPr>
                <w:rFonts w:ascii="仿宋_GB2312" w:hAnsi="华文仿宋" w:eastAsia="仿宋_GB2312"/>
                <w:szCs w:val="21"/>
              </w:rPr>
            </w:pPr>
          </w:p>
        </w:tc>
        <w:tc>
          <w:tcPr>
            <w:tcW w:w="937" w:type="pct"/>
            <w:tcBorders>
              <w:top w:val="single" w:color="auto" w:sz="6" w:space="0"/>
              <w:left w:val="single" w:color="auto" w:sz="6" w:space="0"/>
              <w:bottom w:val="single" w:color="auto" w:sz="6" w:space="0"/>
              <w:right w:val="single" w:color="auto" w:sz="6" w:space="0"/>
            </w:tcBorders>
          </w:tcPr>
          <w:p w14:paraId="29C4FFBE">
            <w:pPr>
              <w:tabs>
                <w:tab w:val="left" w:pos="9765"/>
              </w:tabs>
              <w:autoSpaceDE w:val="0"/>
              <w:autoSpaceDN w:val="0"/>
              <w:adjustRightInd w:val="0"/>
              <w:snapToGrid w:val="0"/>
              <w:spacing w:line="360" w:lineRule="auto"/>
              <w:rPr>
                <w:rFonts w:ascii="仿宋_GB2312" w:hAnsi="华文仿宋" w:eastAsia="仿宋_GB2312"/>
                <w:szCs w:val="21"/>
              </w:rPr>
            </w:pPr>
          </w:p>
        </w:tc>
      </w:tr>
      <w:tr w14:paraId="4B5AA14D">
        <w:tblPrEx>
          <w:tblCellMar>
            <w:top w:w="0" w:type="dxa"/>
            <w:left w:w="108" w:type="dxa"/>
            <w:bottom w:w="0" w:type="dxa"/>
            <w:right w:w="108" w:type="dxa"/>
          </w:tblCellMar>
        </w:tblPrEx>
        <w:trPr>
          <w:jc w:val="center"/>
        </w:trPr>
        <w:tc>
          <w:tcPr>
            <w:tcW w:w="466" w:type="pct"/>
            <w:tcBorders>
              <w:top w:val="single" w:color="auto" w:sz="6" w:space="0"/>
              <w:left w:val="single" w:color="auto" w:sz="6" w:space="0"/>
              <w:bottom w:val="single" w:color="auto" w:sz="6" w:space="0"/>
              <w:right w:val="single" w:color="auto" w:sz="6" w:space="0"/>
            </w:tcBorders>
          </w:tcPr>
          <w:p w14:paraId="7CA6AD1D">
            <w:pPr>
              <w:tabs>
                <w:tab w:val="left" w:pos="9765"/>
              </w:tabs>
              <w:autoSpaceDE w:val="0"/>
              <w:autoSpaceDN w:val="0"/>
              <w:adjustRightInd w:val="0"/>
              <w:snapToGrid w:val="0"/>
              <w:spacing w:line="360" w:lineRule="auto"/>
              <w:rPr>
                <w:rFonts w:ascii="仿宋_GB2312" w:hAnsi="华文仿宋" w:eastAsia="仿宋_GB2312"/>
                <w:szCs w:val="21"/>
              </w:rPr>
            </w:pPr>
          </w:p>
        </w:tc>
        <w:tc>
          <w:tcPr>
            <w:tcW w:w="942" w:type="pct"/>
            <w:tcBorders>
              <w:top w:val="single" w:color="auto" w:sz="6" w:space="0"/>
              <w:left w:val="single" w:color="auto" w:sz="6" w:space="0"/>
              <w:bottom w:val="single" w:color="auto" w:sz="6" w:space="0"/>
              <w:right w:val="single" w:color="auto" w:sz="6" w:space="0"/>
            </w:tcBorders>
          </w:tcPr>
          <w:p w14:paraId="195D39DC">
            <w:pPr>
              <w:tabs>
                <w:tab w:val="left" w:pos="9765"/>
              </w:tabs>
              <w:autoSpaceDE w:val="0"/>
              <w:autoSpaceDN w:val="0"/>
              <w:adjustRightInd w:val="0"/>
              <w:snapToGrid w:val="0"/>
              <w:spacing w:line="360" w:lineRule="auto"/>
              <w:rPr>
                <w:rFonts w:ascii="仿宋_GB2312" w:hAnsi="华文仿宋" w:eastAsia="仿宋_GB2312"/>
                <w:szCs w:val="21"/>
              </w:rPr>
            </w:pPr>
          </w:p>
        </w:tc>
        <w:tc>
          <w:tcPr>
            <w:tcW w:w="937" w:type="pct"/>
            <w:tcBorders>
              <w:top w:val="single" w:color="auto" w:sz="6" w:space="0"/>
              <w:left w:val="single" w:color="auto" w:sz="6" w:space="0"/>
              <w:bottom w:val="single" w:color="auto" w:sz="6" w:space="0"/>
              <w:right w:val="single" w:color="auto" w:sz="6" w:space="0"/>
            </w:tcBorders>
          </w:tcPr>
          <w:p w14:paraId="0EB10158">
            <w:pPr>
              <w:tabs>
                <w:tab w:val="left" w:pos="9765"/>
              </w:tabs>
              <w:autoSpaceDE w:val="0"/>
              <w:autoSpaceDN w:val="0"/>
              <w:adjustRightInd w:val="0"/>
              <w:snapToGrid w:val="0"/>
              <w:spacing w:line="360" w:lineRule="auto"/>
              <w:rPr>
                <w:rFonts w:ascii="仿宋_GB2312" w:hAnsi="华文仿宋" w:eastAsia="仿宋_GB2312"/>
                <w:szCs w:val="21"/>
              </w:rPr>
            </w:pPr>
          </w:p>
        </w:tc>
        <w:tc>
          <w:tcPr>
            <w:tcW w:w="703" w:type="pct"/>
            <w:tcBorders>
              <w:top w:val="single" w:color="auto" w:sz="6" w:space="0"/>
              <w:left w:val="single" w:color="auto" w:sz="6" w:space="0"/>
              <w:bottom w:val="single" w:color="auto" w:sz="6" w:space="0"/>
              <w:right w:val="single" w:color="auto" w:sz="6" w:space="0"/>
            </w:tcBorders>
          </w:tcPr>
          <w:p w14:paraId="23D38947">
            <w:pPr>
              <w:tabs>
                <w:tab w:val="left" w:pos="9765"/>
              </w:tabs>
              <w:autoSpaceDE w:val="0"/>
              <w:autoSpaceDN w:val="0"/>
              <w:adjustRightInd w:val="0"/>
              <w:snapToGrid w:val="0"/>
              <w:spacing w:line="360" w:lineRule="auto"/>
              <w:rPr>
                <w:rFonts w:ascii="仿宋_GB2312" w:hAnsi="华文仿宋" w:eastAsia="仿宋_GB2312"/>
                <w:szCs w:val="21"/>
              </w:rPr>
            </w:pPr>
          </w:p>
        </w:tc>
        <w:tc>
          <w:tcPr>
            <w:tcW w:w="1015" w:type="pct"/>
            <w:tcBorders>
              <w:top w:val="single" w:color="auto" w:sz="6" w:space="0"/>
              <w:left w:val="single" w:color="auto" w:sz="6" w:space="0"/>
              <w:bottom w:val="single" w:color="auto" w:sz="6" w:space="0"/>
              <w:right w:val="single" w:color="auto" w:sz="6" w:space="0"/>
            </w:tcBorders>
          </w:tcPr>
          <w:p w14:paraId="1C05240B">
            <w:pPr>
              <w:tabs>
                <w:tab w:val="left" w:pos="9765"/>
              </w:tabs>
              <w:autoSpaceDE w:val="0"/>
              <w:autoSpaceDN w:val="0"/>
              <w:adjustRightInd w:val="0"/>
              <w:snapToGrid w:val="0"/>
              <w:spacing w:line="360" w:lineRule="auto"/>
              <w:rPr>
                <w:rFonts w:ascii="仿宋_GB2312" w:hAnsi="华文仿宋" w:eastAsia="仿宋_GB2312"/>
                <w:szCs w:val="21"/>
              </w:rPr>
            </w:pPr>
          </w:p>
        </w:tc>
        <w:tc>
          <w:tcPr>
            <w:tcW w:w="937" w:type="pct"/>
            <w:tcBorders>
              <w:top w:val="single" w:color="auto" w:sz="6" w:space="0"/>
              <w:left w:val="single" w:color="auto" w:sz="6" w:space="0"/>
              <w:bottom w:val="single" w:color="auto" w:sz="6" w:space="0"/>
              <w:right w:val="single" w:color="auto" w:sz="6" w:space="0"/>
            </w:tcBorders>
          </w:tcPr>
          <w:p w14:paraId="2361A9A6">
            <w:pPr>
              <w:tabs>
                <w:tab w:val="left" w:pos="9765"/>
              </w:tabs>
              <w:autoSpaceDE w:val="0"/>
              <w:autoSpaceDN w:val="0"/>
              <w:adjustRightInd w:val="0"/>
              <w:snapToGrid w:val="0"/>
              <w:spacing w:line="360" w:lineRule="auto"/>
              <w:rPr>
                <w:rFonts w:ascii="仿宋_GB2312" w:hAnsi="华文仿宋" w:eastAsia="仿宋_GB2312"/>
                <w:szCs w:val="21"/>
              </w:rPr>
            </w:pPr>
          </w:p>
        </w:tc>
      </w:tr>
      <w:tr w14:paraId="04B9DBEB">
        <w:tblPrEx>
          <w:tblCellMar>
            <w:top w:w="0" w:type="dxa"/>
            <w:left w:w="108" w:type="dxa"/>
            <w:bottom w:w="0" w:type="dxa"/>
            <w:right w:w="108" w:type="dxa"/>
          </w:tblCellMar>
        </w:tblPrEx>
        <w:trPr>
          <w:jc w:val="center"/>
        </w:trPr>
        <w:tc>
          <w:tcPr>
            <w:tcW w:w="466" w:type="pct"/>
            <w:tcBorders>
              <w:top w:val="single" w:color="auto" w:sz="6" w:space="0"/>
              <w:left w:val="single" w:color="auto" w:sz="6" w:space="0"/>
              <w:bottom w:val="single" w:color="auto" w:sz="6" w:space="0"/>
              <w:right w:val="single" w:color="auto" w:sz="6" w:space="0"/>
            </w:tcBorders>
          </w:tcPr>
          <w:p w14:paraId="322F192A">
            <w:pPr>
              <w:tabs>
                <w:tab w:val="left" w:pos="9765"/>
              </w:tabs>
              <w:autoSpaceDE w:val="0"/>
              <w:autoSpaceDN w:val="0"/>
              <w:adjustRightInd w:val="0"/>
              <w:snapToGrid w:val="0"/>
              <w:spacing w:line="360" w:lineRule="auto"/>
              <w:rPr>
                <w:rFonts w:ascii="仿宋_GB2312" w:hAnsi="华文仿宋" w:eastAsia="仿宋_GB2312"/>
                <w:szCs w:val="21"/>
              </w:rPr>
            </w:pPr>
          </w:p>
        </w:tc>
        <w:tc>
          <w:tcPr>
            <w:tcW w:w="942" w:type="pct"/>
            <w:tcBorders>
              <w:top w:val="single" w:color="auto" w:sz="6" w:space="0"/>
              <w:left w:val="single" w:color="auto" w:sz="6" w:space="0"/>
              <w:bottom w:val="single" w:color="auto" w:sz="6" w:space="0"/>
              <w:right w:val="single" w:color="auto" w:sz="6" w:space="0"/>
            </w:tcBorders>
          </w:tcPr>
          <w:p w14:paraId="127A6057">
            <w:pPr>
              <w:tabs>
                <w:tab w:val="left" w:pos="9765"/>
              </w:tabs>
              <w:autoSpaceDE w:val="0"/>
              <w:autoSpaceDN w:val="0"/>
              <w:adjustRightInd w:val="0"/>
              <w:snapToGrid w:val="0"/>
              <w:spacing w:line="360" w:lineRule="auto"/>
              <w:rPr>
                <w:rFonts w:ascii="仿宋_GB2312" w:hAnsi="华文仿宋" w:eastAsia="仿宋_GB2312"/>
                <w:szCs w:val="21"/>
              </w:rPr>
            </w:pPr>
          </w:p>
        </w:tc>
        <w:tc>
          <w:tcPr>
            <w:tcW w:w="937" w:type="pct"/>
            <w:tcBorders>
              <w:top w:val="single" w:color="auto" w:sz="6" w:space="0"/>
              <w:left w:val="single" w:color="auto" w:sz="6" w:space="0"/>
              <w:bottom w:val="single" w:color="auto" w:sz="6" w:space="0"/>
              <w:right w:val="single" w:color="auto" w:sz="6" w:space="0"/>
            </w:tcBorders>
          </w:tcPr>
          <w:p w14:paraId="6ECBDF6B">
            <w:pPr>
              <w:tabs>
                <w:tab w:val="left" w:pos="9765"/>
              </w:tabs>
              <w:autoSpaceDE w:val="0"/>
              <w:autoSpaceDN w:val="0"/>
              <w:adjustRightInd w:val="0"/>
              <w:snapToGrid w:val="0"/>
              <w:spacing w:line="360" w:lineRule="auto"/>
              <w:rPr>
                <w:rFonts w:ascii="仿宋_GB2312" w:hAnsi="华文仿宋" w:eastAsia="仿宋_GB2312"/>
                <w:szCs w:val="21"/>
              </w:rPr>
            </w:pPr>
          </w:p>
        </w:tc>
        <w:tc>
          <w:tcPr>
            <w:tcW w:w="703" w:type="pct"/>
            <w:tcBorders>
              <w:top w:val="single" w:color="auto" w:sz="6" w:space="0"/>
              <w:left w:val="single" w:color="auto" w:sz="6" w:space="0"/>
              <w:bottom w:val="single" w:color="auto" w:sz="6" w:space="0"/>
              <w:right w:val="single" w:color="auto" w:sz="6" w:space="0"/>
            </w:tcBorders>
          </w:tcPr>
          <w:p w14:paraId="67D20CD1">
            <w:pPr>
              <w:tabs>
                <w:tab w:val="left" w:pos="9765"/>
              </w:tabs>
              <w:autoSpaceDE w:val="0"/>
              <w:autoSpaceDN w:val="0"/>
              <w:adjustRightInd w:val="0"/>
              <w:snapToGrid w:val="0"/>
              <w:spacing w:line="360" w:lineRule="auto"/>
              <w:rPr>
                <w:rFonts w:ascii="仿宋_GB2312" w:hAnsi="华文仿宋" w:eastAsia="仿宋_GB2312"/>
                <w:szCs w:val="21"/>
              </w:rPr>
            </w:pPr>
          </w:p>
        </w:tc>
        <w:tc>
          <w:tcPr>
            <w:tcW w:w="1015" w:type="pct"/>
            <w:tcBorders>
              <w:top w:val="single" w:color="auto" w:sz="6" w:space="0"/>
              <w:left w:val="single" w:color="auto" w:sz="6" w:space="0"/>
              <w:bottom w:val="single" w:color="auto" w:sz="6" w:space="0"/>
              <w:right w:val="single" w:color="auto" w:sz="6" w:space="0"/>
            </w:tcBorders>
          </w:tcPr>
          <w:p w14:paraId="2F0DE265">
            <w:pPr>
              <w:tabs>
                <w:tab w:val="left" w:pos="9765"/>
              </w:tabs>
              <w:autoSpaceDE w:val="0"/>
              <w:autoSpaceDN w:val="0"/>
              <w:adjustRightInd w:val="0"/>
              <w:snapToGrid w:val="0"/>
              <w:spacing w:line="360" w:lineRule="auto"/>
              <w:rPr>
                <w:rFonts w:ascii="仿宋_GB2312" w:hAnsi="华文仿宋" w:eastAsia="仿宋_GB2312"/>
                <w:szCs w:val="21"/>
              </w:rPr>
            </w:pPr>
          </w:p>
        </w:tc>
        <w:tc>
          <w:tcPr>
            <w:tcW w:w="937" w:type="pct"/>
            <w:tcBorders>
              <w:top w:val="single" w:color="auto" w:sz="6" w:space="0"/>
              <w:left w:val="single" w:color="auto" w:sz="6" w:space="0"/>
              <w:bottom w:val="single" w:color="auto" w:sz="6" w:space="0"/>
              <w:right w:val="single" w:color="auto" w:sz="6" w:space="0"/>
            </w:tcBorders>
          </w:tcPr>
          <w:p w14:paraId="5AEFD1B2">
            <w:pPr>
              <w:tabs>
                <w:tab w:val="left" w:pos="9765"/>
              </w:tabs>
              <w:autoSpaceDE w:val="0"/>
              <w:autoSpaceDN w:val="0"/>
              <w:adjustRightInd w:val="0"/>
              <w:snapToGrid w:val="0"/>
              <w:spacing w:line="360" w:lineRule="auto"/>
              <w:rPr>
                <w:rFonts w:ascii="仿宋_GB2312" w:hAnsi="华文仿宋" w:eastAsia="仿宋_GB2312"/>
                <w:szCs w:val="21"/>
              </w:rPr>
            </w:pPr>
          </w:p>
        </w:tc>
      </w:tr>
      <w:tr w14:paraId="119E206E">
        <w:tblPrEx>
          <w:tblCellMar>
            <w:top w:w="0" w:type="dxa"/>
            <w:left w:w="108" w:type="dxa"/>
            <w:bottom w:w="0" w:type="dxa"/>
            <w:right w:w="108" w:type="dxa"/>
          </w:tblCellMar>
        </w:tblPrEx>
        <w:trPr>
          <w:jc w:val="center"/>
        </w:trPr>
        <w:tc>
          <w:tcPr>
            <w:tcW w:w="466" w:type="pct"/>
            <w:tcBorders>
              <w:top w:val="single" w:color="auto" w:sz="6" w:space="0"/>
              <w:left w:val="single" w:color="auto" w:sz="6" w:space="0"/>
              <w:bottom w:val="single" w:color="auto" w:sz="6" w:space="0"/>
              <w:right w:val="single" w:color="auto" w:sz="6" w:space="0"/>
            </w:tcBorders>
          </w:tcPr>
          <w:p w14:paraId="6AE7CE52">
            <w:pPr>
              <w:tabs>
                <w:tab w:val="left" w:pos="9765"/>
              </w:tabs>
              <w:autoSpaceDE w:val="0"/>
              <w:autoSpaceDN w:val="0"/>
              <w:adjustRightInd w:val="0"/>
              <w:snapToGrid w:val="0"/>
              <w:spacing w:line="360" w:lineRule="auto"/>
              <w:rPr>
                <w:rFonts w:ascii="仿宋_GB2312" w:hAnsi="华文仿宋" w:eastAsia="仿宋_GB2312"/>
                <w:szCs w:val="21"/>
              </w:rPr>
            </w:pPr>
          </w:p>
        </w:tc>
        <w:tc>
          <w:tcPr>
            <w:tcW w:w="942" w:type="pct"/>
            <w:tcBorders>
              <w:top w:val="single" w:color="auto" w:sz="6" w:space="0"/>
              <w:left w:val="single" w:color="auto" w:sz="6" w:space="0"/>
              <w:bottom w:val="single" w:color="auto" w:sz="6" w:space="0"/>
              <w:right w:val="single" w:color="auto" w:sz="6" w:space="0"/>
            </w:tcBorders>
          </w:tcPr>
          <w:p w14:paraId="7C6186A0">
            <w:pPr>
              <w:tabs>
                <w:tab w:val="left" w:pos="9765"/>
              </w:tabs>
              <w:autoSpaceDE w:val="0"/>
              <w:autoSpaceDN w:val="0"/>
              <w:adjustRightInd w:val="0"/>
              <w:snapToGrid w:val="0"/>
              <w:spacing w:line="360" w:lineRule="auto"/>
              <w:rPr>
                <w:rFonts w:ascii="仿宋_GB2312" w:hAnsi="华文仿宋" w:eastAsia="仿宋_GB2312"/>
                <w:szCs w:val="21"/>
              </w:rPr>
            </w:pPr>
          </w:p>
        </w:tc>
        <w:tc>
          <w:tcPr>
            <w:tcW w:w="937" w:type="pct"/>
            <w:tcBorders>
              <w:top w:val="single" w:color="auto" w:sz="6" w:space="0"/>
              <w:left w:val="single" w:color="auto" w:sz="6" w:space="0"/>
              <w:bottom w:val="single" w:color="auto" w:sz="6" w:space="0"/>
              <w:right w:val="single" w:color="auto" w:sz="6" w:space="0"/>
            </w:tcBorders>
          </w:tcPr>
          <w:p w14:paraId="11606930">
            <w:pPr>
              <w:tabs>
                <w:tab w:val="left" w:pos="9765"/>
              </w:tabs>
              <w:autoSpaceDE w:val="0"/>
              <w:autoSpaceDN w:val="0"/>
              <w:adjustRightInd w:val="0"/>
              <w:snapToGrid w:val="0"/>
              <w:spacing w:line="360" w:lineRule="auto"/>
              <w:rPr>
                <w:rFonts w:ascii="仿宋_GB2312" w:hAnsi="华文仿宋" w:eastAsia="仿宋_GB2312"/>
                <w:szCs w:val="21"/>
              </w:rPr>
            </w:pPr>
          </w:p>
        </w:tc>
        <w:tc>
          <w:tcPr>
            <w:tcW w:w="703" w:type="pct"/>
            <w:tcBorders>
              <w:top w:val="single" w:color="auto" w:sz="6" w:space="0"/>
              <w:left w:val="single" w:color="auto" w:sz="6" w:space="0"/>
              <w:bottom w:val="single" w:color="auto" w:sz="6" w:space="0"/>
              <w:right w:val="single" w:color="auto" w:sz="6" w:space="0"/>
            </w:tcBorders>
          </w:tcPr>
          <w:p w14:paraId="26CFA1D9">
            <w:pPr>
              <w:tabs>
                <w:tab w:val="left" w:pos="9765"/>
              </w:tabs>
              <w:autoSpaceDE w:val="0"/>
              <w:autoSpaceDN w:val="0"/>
              <w:adjustRightInd w:val="0"/>
              <w:snapToGrid w:val="0"/>
              <w:spacing w:line="360" w:lineRule="auto"/>
              <w:rPr>
                <w:rFonts w:ascii="仿宋_GB2312" w:hAnsi="华文仿宋" w:eastAsia="仿宋_GB2312"/>
                <w:szCs w:val="21"/>
              </w:rPr>
            </w:pPr>
          </w:p>
        </w:tc>
        <w:tc>
          <w:tcPr>
            <w:tcW w:w="1015" w:type="pct"/>
            <w:tcBorders>
              <w:top w:val="single" w:color="auto" w:sz="6" w:space="0"/>
              <w:left w:val="single" w:color="auto" w:sz="6" w:space="0"/>
              <w:bottom w:val="single" w:color="auto" w:sz="6" w:space="0"/>
              <w:right w:val="single" w:color="auto" w:sz="6" w:space="0"/>
            </w:tcBorders>
          </w:tcPr>
          <w:p w14:paraId="41ABA89C">
            <w:pPr>
              <w:tabs>
                <w:tab w:val="left" w:pos="9765"/>
              </w:tabs>
              <w:autoSpaceDE w:val="0"/>
              <w:autoSpaceDN w:val="0"/>
              <w:adjustRightInd w:val="0"/>
              <w:snapToGrid w:val="0"/>
              <w:spacing w:line="360" w:lineRule="auto"/>
              <w:rPr>
                <w:rFonts w:ascii="仿宋_GB2312" w:hAnsi="华文仿宋" w:eastAsia="仿宋_GB2312"/>
                <w:szCs w:val="21"/>
              </w:rPr>
            </w:pPr>
          </w:p>
        </w:tc>
        <w:tc>
          <w:tcPr>
            <w:tcW w:w="937" w:type="pct"/>
            <w:tcBorders>
              <w:top w:val="single" w:color="auto" w:sz="6" w:space="0"/>
              <w:left w:val="single" w:color="auto" w:sz="6" w:space="0"/>
              <w:bottom w:val="single" w:color="auto" w:sz="6" w:space="0"/>
              <w:right w:val="single" w:color="auto" w:sz="6" w:space="0"/>
            </w:tcBorders>
          </w:tcPr>
          <w:p w14:paraId="082AC8AE">
            <w:pPr>
              <w:tabs>
                <w:tab w:val="left" w:pos="9765"/>
              </w:tabs>
              <w:autoSpaceDE w:val="0"/>
              <w:autoSpaceDN w:val="0"/>
              <w:adjustRightInd w:val="0"/>
              <w:snapToGrid w:val="0"/>
              <w:spacing w:line="360" w:lineRule="auto"/>
              <w:rPr>
                <w:rFonts w:ascii="仿宋_GB2312" w:hAnsi="华文仿宋" w:eastAsia="仿宋_GB2312"/>
                <w:szCs w:val="21"/>
              </w:rPr>
            </w:pPr>
          </w:p>
        </w:tc>
      </w:tr>
      <w:tr w14:paraId="62F37017">
        <w:tblPrEx>
          <w:tblCellMar>
            <w:top w:w="0" w:type="dxa"/>
            <w:left w:w="108" w:type="dxa"/>
            <w:bottom w:w="0" w:type="dxa"/>
            <w:right w:w="108" w:type="dxa"/>
          </w:tblCellMar>
        </w:tblPrEx>
        <w:trPr>
          <w:jc w:val="center"/>
        </w:trPr>
        <w:tc>
          <w:tcPr>
            <w:tcW w:w="466" w:type="pct"/>
            <w:tcBorders>
              <w:top w:val="single" w:color="auto" w:sz="6" w:space="0"/>
              <w:left w:val="single" w:color="auto" w:sz="6" w:space="0"/>
              <w:bottom w:val="single" w:color="auto" w:sz="6" w:space="0"/>
              <w:right w:val="single" w:color="auto" w:sz="6" w:space="0"/>
            </w:tcBorders>
          </w:tcPr>
          <w:p w14:paraId="32BAB1E2">
            <w:pPr>
              <w:tabs>
                <w:tab w:val="left" w:pos="9765"/>
              </w:tabs>
              <w:autoSpaceDE w:val="0"/>
              <w:autoSpaceDN w:val="0"/>
              <w:adjustRightInd w:val="0"/>
              <w:snapToGrid w:val="0"/>
              <w:spacing w:line="360" w:lineRule="auto"/>
              <w:rPr>
                <w:rFonts w:ascii="仿宋_GB2312" w:hAnsi="华文仿宋" w:eastAsia="仿宋_GB2312"/>
                <w:szCs w:val="21"/>
              </w:rPr>
            </w:pPr>
          </w:p>
        </w:tc>
        <w:tc>
          <w:tcPr>
            <w:tcW w:w="942" w:type="pct"/>
            <w:tcBorders>
              <w:top w:val="single" w:color="auto" w:sz="6" w:space="0"/>
              <w:left w:val="single" w:color="auto" w:sz="6" w:space="0"/>
              <w:bottom w:val="single" w:color="auto" w:sz="6" w:space="0"/>
              <w:right w:val="single" w:color="auto" w:sz="6" w:space="0"/>
            </w:tcBorders>
          </w:tcPr>
          <w:p w14:paraId="051997AB">
            <w:pPr>
              <w:tabs>
                <w:tab w:val="left" w:pos="9765"/>
              </w:tabs>
              <w:autoSpaceDE w:val="0"/>
              <w:autoSpaceDN w:val="0"/>
              <w:adjustRightInd w:val="0"/>
              <w:snapToGrid w:val="0"/>
              <w:spacing w:line="360" w:lineRule="auto"/>
              <w:rPr>
                <w:rFonts w:ascii="仿宋_GB2312" w:hAnsi="华文仿宋" w:eastAsia="仿宋_GB2312"/>
                <w:szCs w:val="21"/>
              </w:rPr>
            </w:pPr>
          </w:p>
        </w:tc>
        <w:tc>
          <w:tcPr>
            <w:tcW w:w="937" w:type="pct"/>
            <w:tcBorders>
              <w:top w:val="single" w:color="auto" w:sz="6" w:space="0"/>
              <w:left w:val="single" w:color="auto" w:sz="6" w:space="0"/>
              <w:bottom w:val="single" w:color="auto" w:sz="6" w:space="0"/>
              <w:right w:val="single" w:color="auto" w:sz="6" w:space="0"/>
            </w:tcBorders>
          </w:tcPr>
          <w:p w14:paraId="73D75ABE">
            <w:pPr>
              <w:tabs>
                <w:tab w:val="left" w:pos="9765"/>
              </w:tabs>
              <w:autoSpaceDE w:val="0"/>
              <w:autoSpaceDN w:val="0"/>
              <w:adjustRightInd w:val="0"/>
              <w:snapToGrid w:val="0"/>
              <w:spacing w:line="360" w:lineRule="auto"/>
              <w:rPr>
                <w:rFonts w:ascii="仿宋_GB2312" w:hAnsi="华文仿宋" w:eastAsia="仿宋_GB2312"/>
                <w:szCs w:val="21"/>
              </w:rPr>
            </w:pPr>
          </w:p>
        </w:tc>
        <w:tc>
          <w:tcPr>
            <w:tcW w:w="703" w:type="pct"/>
            <w:tcBorders>
              <w:top w:val="single" w:color="auto" w:sz="6" w:space="0"/>
              <w:left w:val="single" w:color="auto" w:sz="6" w:space="0"/>
              <w:bottom w:val="single" w:color="auto" w:sz="6" w:space="0"/>
              <w:right w:val="single" w:color="auto" w:sz="6" w:space="0"/>
            </w:tcBorders>
          </w:tcPr>
          <w:p w14:paraId="19E2993A">
            <w:pPr>
              <w:tabs>
                <w:tab w:val="left" w:pos="9765"/>
              </w:tabs>
              <w:autoSpaceDE w:val="0"/>
              <w:autoSpaceDN w:val="0"/>
              <w:adjustRightInd w:val="0"/>
              <w:snapToGrid w:val="0"/>
              <w:spacing w:line="360" w:lineRule="auto"/>
              <w:rPr>
                <w:rFonts w:ascii="仿宋_GB2312" w:hAnsi="华文仿宋" w:eastAsia="仿宋_GB2312"/>
                <w:szCs w:val="21"/>
              </w:rPr>
            </w:pPr>
          </w:p>
        </w:tc>
        <w:tc>
          <w:tcPr>
            <w:tcW w:w="1015" w:type="pct"/>
            <w:tcBorders>
              <w:top w:val="single" w:color="auto" w:sz="6" w:space="0"/>
              <w:left w:val="single" w:color="auto" w:sz="6" w:space="0"/>
              <w:bottom w:val="single" w:color="auto" w:sz="6" w:space="0"/>
              <w:right w:val="single" w:color="auto" w:sz="6" w:space="0"/>
            </w:tcBorders>
          </w:tcPr>
          <w:p w14:paraId="4AFA88CC">
            <w:pPr>
              <w:tabs>
                <w:tab w:val="left" w:pos="9765"/>
              </w:tabs>
              <w:autoSpaceDE w:val="0"/>
              <w:autoSpaceDN w:val="0"/>
              <w:adjustRightInd w:val="0"/>
              <w:snapToGrid w:val="0"/>
              <w:spacing w:line="360" w:lineRule="auto"/>
              <w:rPr>
                <w:rFonts w:ascii="仿宋_GB2312" w:hAnsi="华文仿宋" w:eastAsia="仿宋_GB2312"/>
                <w:szCs w:val="21"/>
              </w:rPr>
            </w:pPr>
          </w:p>
        </w:tc>
        <w:tc>
          <w:tcPr>
            <w:tcW w:w="937" w:type="pct"/>
            <w:tcBorders>
              <w:top w:val="single" w:color="auto" w:sz="6" w:space="0"/>
              <w:left w:val="single" w:color="auto" w:sz="6" w:space="0"/>
              <w:bottom w:val="single" w:color="auto" w:sz="6" w:space="0"/>
              <w:right w:val="single" w:color="auto" w:sz="6" w:space="0"/>
            </w:tcBorders>
          </w:tcPr>
          <w:p w14:paraId="2AC6ED94">
            <w:pPr>
              <w:tabs>
                <w:tab w:val="left" w:pos="9765"/>
              </w:tabs>
              <w:autoSpaceDE w:val="0"/>
              <w:autoSpaceDN w:val="0"/>
              <w:adjustRightInd w:val="0"/>
              <w:snapToGrid w:val="0"/>
              <w:spacing w:line="360" w:lineRule="auto"/>
              <w:rPr>
                <w:rFonts w:ascii="仿宋_GB2312" w:hAnsi="华文仿宋" w:eastAsia="仿宋_GB2312"/>
                <w:szCs w:val="21"/>
              </w:rPr>
            </w:pPr>
          </w:p>
        </w:tc>
      </w:tr>
      <w:tr w14:paraId="5A5E48C3">
        <w:tblPrEx>
          <w:tblCellMar>
            <w:top w:w="0" w:type="dxa"/>
            <w:left w:w="108" w:type="dxa"/>
            <w:bottom w:w="0" w:type="dxa"/>
            <w:right w:w="108" w:type="dxa"/>
          </w:tblCellMar>
        </w:tblPrEx>
        <w:trPr>
          <w:jc w:val="center"/>
        </w:trPr>
        <w:tc>
          <w:tcPr>
            <w:tcW w:w="466" w:type="pct"/>
            <w:tcBorders>
              <w:top w:val="single" w:color="auto" w:sz="6" w:space="0"/>
              <w:left w:val="single" w:color="auto" w:sz="6" w:space="0"/>
              <w:bottom w:val="single" w:color="auto" w:sz="6" w:space="0"/>
              <w:right w:val="single" w:color="auto" w:sz="6" w:space="0"/>
            </w:tcBorders>
          </w:tcPr>
          <w:p w14:paraId="0A9229CB">
            <w:pPr>
              <w:tabs>
                <w:tab w:val="left" w:pos="9765"/>
              </w:tabs>
              <w:autoSpaceDE w:val="0"/>
              <w:autoSpaceDN w:val="0"/>
              <w:adjustRightInd w:val="0"/>
              <w:snapToGrid w:val="0"/>
              <w:spacing w:line="360" w:lineRule="auto"/>
              <w:rPr>
                <w:rFonts w:ascii="仿宋_GB2312" w:hAnsi="华文仿宋" w:eastAsia="仿宋_GB2312"/>
                <w:szCs w:val="21"/>
              </w:rPr>
            </w:pPr>
          </w:p>
        </w:tc>
        <w:tc>
          <w:tcPr>
            <w:tcW w:w="942" w:type="pct"/>
            <w:tcBorders>
              <w:top w:val="single" w:color="auto" w:sz="6" w:space="0"/>
              <w:left w:val="single" w:color="auto" w:sz="6" w:space="0"/>
              <w:bottom w:val="single" w:color="auto" w:sz="6" w:space="0"/>
              <w:right w:val="single" w:color="auto" w:sz="6" w:space="0"/>
            </w:tcBorders>
          </w:tcPr>
          <w:p w14:paraId="06027961">
            <w:pPr>
              <w:tabs>
                <w:tab w:val="left" w:pos="9765"/>
              </w:tabs>
              <w:autoSpaceDE w:val="0"/>
              <w:autoSpaceDN w:val="0"/>
              <w:adjustRightInd w:val="0"/>
              <w:snapToGrid w:val="0"/>
              <w:spacing w:line="360" w:lineRule="auto"/>
              <w:rPr>
                <w:rFonts w:ascii="仿宋_GB2312" w:hAnsi="华文仿宋" w:eastAsia="仿宋_GB2312"/>
                <w:szCs w:val="21"/>
              </w:rPr>
            </w:pPr>
          </w:p>
        </w:tc>
        <w:tc>
          <w:tcPr>
            <w:tcW w:w="937" w:type="pct"/>
            <w:tcBorders>
              <w:top w:val="single" w:color="auto" w:sz="6" w:space="0"/>
              <w:left w:val="single" w:color="auto" w:sz="6" w:space="0"/>
              <w:bottom w:val="single" w:color="auto" w:sz="6" w:space="0"/>
              <w:right w:val="single" w:color="auto" w:sz="6" w:space="0"/>
            </w:tcBorders>
          </w:tcPr>
          <w:p w14:paraId="28F85C6B">
            <w:pPr>
              <w:tabs>
                <w:tab w:val="left" w:pos="9765"/>
              </w:tabs>
              <w:autoSpaceDE w:val="0"/>
              <w:autoSpaceDN w:val="0"/>
              <w:adjustRightInd w:val="0"/>
              <w:snapToGrid w:val="0"/>
              <w:spacing w:line="360" w:lineRule="auto"/>
              <w:rPr>
                <w:rFonts w:ascii="仿宋_GB2312" w:hAnsi="华文仿宋" w:eastAsia="仿宋_GB2312"/>
                <w:szCs w:val="21"/>
              </w:rPr>
            </w:pPr>
          </w:p>
        </w:tc>
        <w:tc>
          <w:tcPr>
            <w:tcW w:w="703" w:type="pct"/>
            <w:tcBorders>
              <w:top w:val="single" w:color="auto" w:sz="6" w:space="0"/>
              <w:left w:val="single" w:color="auto" w:sz="6" w:space="0"/>
              <w:bottom w:val="single" w:color="auto" w:sz="6" w:space="0"/>
              <w:right w:val="single" w:color="auto" w:sz="6" w:space="0"/>
            </w:tcBorders>
          </w:tcPr>
          <w:p w14:paraId="0C05E5D9">
            <w:pPr>
              <w:tabs>
                <w:tab w:val="left" w:pos="9765"/>
              </w:tabs>
              <w:autoSpaceDE w:val="0"/>
              <w:autoSpaceDN w:val="0"/>
              <w:adjustRightInd w:val="0"/>
              <w:snapToGrid w:val="0"/>
              <w:spacing w:line="360" w:lineRule="auto"/>
              <w:rPr>
                <w:rFonts w:ascii="仿宋_GB2312" w:hAnsi="华文仿宋" w:eastAsia="仿宋_GB2312"/>
                <w:szCs w:val="21"/>
              </w:rPr>
            </w:pPr>
          </w:p>
        </w:tc>
        <w:tc>
          <w:tcPr>
            <w:tcW w:w="1015" w:type="pct"/>
            <w:tcBorders>
              <w:top w:val="single" w:color="auto" w:sz="6" w:space="0"/>
              <w:left w:val="single" w:color="auto" w:sz="6" w:space="0"/>
              <w:bottom w:val="single" w:color="auto" w:sz="6" w:space="0"/>
              <w:right w:val="single" w:color="auto" w:sz="6" w:space="0"/>
            </w:tcBorders>
          </w:tcPr>
          <w:p w14:paraId="64732DCC">
            <w:pPr>
              <w:tabs>
                <w:tab w:val="left" w:pos="9765"/>
              </w:tabs>
              <w:autoSpaceDE w:val="0"/>
              <w:autoSpaceDN w:val="0"/>
              <w:adjustRightInd w:val="0"/>
              <w:snapToGrid w:val="0"/>
              <w:spacing w:line="360" w:lineRule="auto"/>
              <w:rPr>
                <w:rFonts w:ascii="仿宋_GB2312" w:hAnsi="华文仿宋" w:eastAsia="仿宋_GB2312"/>
                <w:szCs w:val="21"/>
              </w:rPr>
            </w:pPr>
          </w:p>
        </w:tc>
        <w:tc>
          <w:tcPr>
            <w:tcW w:w="937" w:type="pct"/>
            <w:tcBorders>
              <w:top w:val="single" w:color="auto" w:sz="6" w:space="0"/>
              <w:left w:val="single" w:color="auto" w:sz="6" w:space="0"/>
              <w:bottom w:val="single" w:color="auto" w:sz="6" w:space="0"/>
              <w:right w:val="single" w:color="auto" w:sz="6" w:space="0"/>
            </w:tcBorders>
          </w:tcPr>
          <w:p w14:paraId="710A501A">
            <w:pPr>
              <w:tabs>
                <w:tab w:val="left" w:pos="9765"/>
              </w:tabs>
              <w:autoSpaceDE w:val="0"/>
              <w:autoSpaceDN w:val="0"/>
              <w:adjustRightInd w:val="0"/>
              <w:snapToGrid w:val="0"/>
              <w:spacing w:line="360" w:lineRule="auto"/>
              <w:rPr>
                <w:rFonts w:ascii="仿宋_GB2312" w:hAnsi="华文仿宋" w:eastAsia="仿宋_GB2312"/>
                <w:szCs w:val="21"/>
              </w:rPr>
            </w:pPr>
          </w:p>
        </w:tc>
      </w:tr>
      <w:tr w14:paraId="75F765EF">
        <w:tblPrEx>
          <w:tblCellMar>
            <w:top w:w="0" w:type="dxa"/>
            <w:left w:w="108" w:type="dxa"/>
            <w:bottom w:w="0" w:type="dxa"/>
            <w:right w:w="108" w:type="dxa"/>
          </w:tblCellMar>
        </w:tblPrEx>
        <w:trPr>
          <w:jc w:val="center"/>
        </w:trPr>
        <w:tc>
          <w:tcPr>
            <w:tcW w:w="466" w:type="pct"/>
            <w:tcBorders>
              <w:top w:val="single" w:color="auto" w:sz="6" w:space="0"/>
              <w:left w:val="single" w:color="auto" w:sz="6" w:space="0"/>
              <w:bottom w:val="single" w:color="auto" w:sz="6" w:space="0"/>
              <w:right w:val="single" w:color="auto" w:sz="6" w:space="0"/>
            </w:tcBorders>
          </w:tcPr>
          <w:p w14:paraId="2AD46B63">
            <w:pPr>
              <w:tabs>
                <w:tab w:val="left" w:pos="9765"/>
              </w:tabs>
              <w:autoSpaceDE w:val="0"/>
              <w:autoSpaceDN w:val="0"/>
              <w:adjustRightInd w:val="0"/>
              <w:snapToGrid w:val="0"/>
              <w:spacing w:line="360" w:lineRule="auto"/>
              <w:rPr>
                <w:rFonts w:ascii="仿宋_GB2312" w:hAnsi="华文仿宋" w:eastAsia="仿宋_GB2312"/>
                <w:szCs w:val="21"/>
              </w:rPr>
            </w:pPr>
          </w:p>
        </w:tc>
        <w:tc>
          <w:tcPr>
            <w:tcW w:w="942" w:type="pct"/>
            <w:tcBorders>
              <w:top w:val="single" w:color="auto" w:sz="6" w:space="0"/>
              <w:left w:val="single" w:color="auto" w:sz="6" w:space="0"/>
              <w:bottom w:val="single" w:color="auto" w:sz="6" w:space="0"/>
              <w:right w:val="single" w:color="auto" w:sz="6" w:space="0"/>
            </w:tcBorders>
          </w:tcPr>
          <w:p w14:paraId="51942177">
            <w:pPr>
              <w:tabs>
                <w:tab w:val="left" w:pos="9765"/>
              </w:tabs>
              <w:autoSpaceDE w:val="0"/>
              <w:autoSpaceDN w:val="0"/>
              <w:adjustRightInd w:val="0"/>
              <w:snapToGrid w:val="0"/>
              <w:spacing w:line="360" w:lineRule="auto"/>
              <w:rPr>
                <w:rFonts w:ascii="仿宋_GB2312" w:hAnsi="华文仿宋" w:eastAsia="仿宋_GB2312"/>
                <w:szCs w:val="21"/>
              </w:rPr>
            </w:pPr>
          </w:p>
        </w:tc>
        <w:tc>
          <w:tcPr>
            <w:tcW w:w="937" w:type="pct"/>
            <w:tcBorders>
              <w:top w:val="single" w:color="auto" w:sz="6" w:space="0"/>
              <w:left w:val="single" w:color="auto" w:sz="6" w:space="0"/>
              <w:bottom w:val="single" w:color="auto" w:sz="6" w:space="0"/>
              <w:right w:val="single" w:color="auto" w:sz="6" w:space="0"/>
            </w:tcBorders>
          </w:tcPr>
          <w:p w14:paraId="7E6FBD72">
            <w:pPr>
              <w:tabs>
                <w:tab w:val="left" w:pos="9765"/>
              </w:tabs>
              <w:autoSpaceDE w:val="0"/>
              <w:autoSpaceDN w:val="0"/>
              <w:adjustRightInd w:val="0"/>
              <w:snapToGrid w:val="0"/>
              <w:spacing w:line="360" w:lineRule="auto"/>
              <w:rPr>
                <w:rFonts w:ascii="仿宋_GB2312" w:hAnsi="华文仿宋" w:eastAsia="仿宋_GB2312"/>
                <w:szCs w:val="21"/>
              </w:rPr>
            </w:pPr>
          </w:p>
        </w:tc>
        <w:tc>
          <w:tcPr>
            <w:tcW w:w="703" w:type="pct"/>
            <w:tcBorders>
              <w:top w:val="single" w:color="auto" w:sz="6" w:space="0"/>
              <w:left w:val="single" w:color="auto" w:sz="6" w:space="0"/>
              <w:bottom w:val="single" w:color="auto" w:sz="6" w:space="0"/>
              <w:right w:val="single" w:color="auto" w:sz="6" w:space="0"/>
            </w:tcBorders>
          </w:tcPr>
          <w:p w14:paraId="2D46E126">
            <w:pPr>
              <w:tabs>
                <w:tab w:val="left" w:pos="9765"/>
              </w:tabs>
              <w:autoSpaceDE w:val="0"/>
              <w:autoSpaceDN w:val="0"/>
              <w:adjustRightInd w:val="0"/>
              <w:snapToGrid w:val="0"/>
              <w:spacing w:line="360" w:lineRule="auto"/>
              <w:rPr>
                <w:rFonts w:ascii="仿宋_GB2312" w:hAnsi="华文仿宋" w:eastAsia="仿宋_GB2312"/>
                <w:szCs w:val="21"/>
              </w:rPr>
            </w:pPr>
          </w:p>
        </w:tc>
        <w:tc>
          <w:tcPr>
            <w:tcW w:w="1015" w:type="pct"/>
            <w:tcBorders>
              <w:top w:val="single" w:color="auto" w:sz="6" w:space="0"/>
              <w:left w:val="single" w:color="auto" w:sz="6" w:space="0"/>
              <w:bottom w:val="single" w:color="auto" w:sz="6" w:space="0"/>
              <w:right w:val="single" w:color="auto" w:sz="6" w:space="0"/>
            </w:tcBorders>
          </w:tcPr>
          <w:p w14:paraId="5B252486">
            <w:pPr>
              <w:tabs>
                <w:tab w:val="left" w:pos="9765"/>
              </w:tabs>
              <w:autoSpaceDE w:val="0"/>
              <w:autoSpaceDN w:val="0"/>
              <w:adjustRightInd w:val="0"/>
              <w:snapToGrid w:val="0"/>
              <w:spacing w:line="360" w:lineRule="auto"/>
              <w:rPr>
                <w:rFonts w:ascii="仿宋_GB2312" w:hAnsi="华文仿宋" w:eastAsia="仿宋_GB2312"/>
                <w:szCs w:val="21"/>
              </w:rPr>
            </w:pPr>
          </w:p>
        </w:tc>
        <w:tc>
          <w:tcPr>
            <w:tcW w:w="937" w:type="pct"/>
            <w:tcBorders>
              <w:top w:val="single" w:color="auto" w:sz="6" w:space="0"/>
              <w:left w:val="single" w:color="auto" w:sz="6" w:space="0"/>
              <w:bottom w:val="single" w:color="auto" w:sz="6" w:space="0"/>
              <w:right w:val="single" w:color="auto" w:sz="6" w:space="0"/>
            </w:tcBorders>
          </w:tcPr>
          <w:p w14:paraId="70C45242">
            <w:pPr>
              <w:tabs>
                <w:tab w:val="left" w:pos="9765"/>
              </w:tabs>
              <w:autoSpaceDE w:val="0"/>
              <w:autoSpaceDN w:val="0"/>
              <w:adjustRightInd w:val="0"/>
              <w:snapToGrid w:val="0"/>
              <w:spacing w:line="360" w:lineRule="auto"/>
              <w:rPr>
                <w:rFonts w:ascii="仿宋_GB2312" w:hAnsi="华文仿宋" w:eastAsia="仿宋_GB2312"/>
                <w:szCs w:val="21"/>
              </w:rPr>
            </w:pPr>
          </w:p>
        </w:tc>
      </w:tr>
      <w:tr w14:paraId="705320BF">
        <w:tblPrEx>
          <w:tblCellMar>
            <w:top w:w="0" w:type="dxa"/>
            <w:left w:w="108" w:type="dxa"/>
            <w:bottom w:w="0" w:type="dxa"/>
            <w:right w:w="108" w:type="dxa"/>
          </w:tblCellMar>
        </w:tblPrEx>
        <w:trPr>
          <w:jc w:val="center"/>
        </w:trPr>
        <w:tc>
          <w:tcPr>
            <w:tcW w:w="466" w:type="pct"/>
            <w:tcBorders>
              <w:top w:val="single" w:color="auto" w:sz="6" w:space="0"/>
              <w:left w:val="single" w:color="auto" w:sz="6" w:space="0"/>
              <w:bottom w:val="single" w:color="auto" w:sz="6" w:space="0"/>
              <w:right w:val="single" w:color="auto" w:sz="6" w:space="0"/>
            </w:tcBorders>
          </w:tcPr>
          <w:p w14:paraId="6E35733B">
            <w:pPr>
              <w:tabs>
                <w:tab w:val="left" w:pos="9765"/>
              </w:tabs>
              <w:autoSpaceDE w:val="0"/>
              <w:autoSpaceDN w:val="0"/>
              <w:adjustRightInd w:val="0"/>
              <w:snapToGrid w:val="0"/>
              <w:spacing w:line="360" w:lineRule="auto"/>
              <w:rPr>
                <w:rFonts w:ascii="仿宋_GB2312" w:hAnsi="华文仿宋" w:eastAsia="仿宋_GB2312"/>
                <w:szCs w:val="21"/>
              </w:rPr>
            </w:pPr>
          </w:p>
        </w:tc>
        <w:tc>
          <w:tcPr>
            <w:tcW w:w="942" w:type="pct"/>
            <w:tcBorders>
              <w:top w:val="single" w:color="auto" w:sz="6" w:space="0"/>
              <w:left w:val="single" w:color="auto" w:sz="6" w:space="0"/>
              <w:bottom w:val="single" w:color="auto" w:sz="6" w:space="0"/>
              <w:right w:val="single" w:color="auto" w:sz="6" w:space="0"/>
            </w:tcBorders>
          </w:tcPr>
          <w:p w14:paraId="3F8B97EE">
            <w:pPr>
              <w:tabs>
                <w:tab w:val="left" w:pos="9765"/>
              </w:tabs>
              <w:autoSpaceDE w:val="0"/>
              <w:autoSpaceDN w:val="0"/>
              <w:adjustRightInd w:val="0"/>
              <w:snapToGrid w:val="0"/>
              <w:spacing w:line="360" w:lineRule="auto"/>
              <w:rPr>
                <w:rFonts w:ascii="仿宋_GB2312" w:hAnsi="华文仿宋" w:eastAsia="仿宋_GB2312"/>
                <w:szCs w:val="21"/>
              </w:rPr>
            </w:pPr>
          </w:p>
        </w:tc>
        <w:tc>
          <w:tcPr>
            <w:tcW w:w="937" w:type="pct"/>
            <w:tcBorders>
              <w:top w:val="single" w:color="auto" w:sz="6" w:space="0"/>
              <w:left w:val="single" w:color="auto" w:sz="6" w:space="0"/>
              <w:bottom w:val="single" w:color="auto" w:sz="6" w:space="0"/>
              <w:right w:val="single" w:color="auto" w:sz="6" w:space="0"/>
            </w:tcBorders>
          </w:tcPr>
          <w:p w14:paraId="33E8AED5">
            <w:pPr>
              <w:tabs>
                <w:tab w:val="left" w:pos="9765"/>
              </w:tabs>
              <w:autoSpaceDE w:val="0"/>
              <w:autoSpaceDN w:val="0"/>
              <w:adjustRightInd w:val="0"/>
              <w:snapToGrid w:val="0"/>
              <w:spacing w:line="360" w:lineRule="auto"/>
              <w:rPr>
                <w:rFonts w:ascii="仿宋_GB2312" w:hAnsi="华文仿宋" w:eastAsia="仿宋_GB2312"/>
                <w:szCs w:val="21"/>
              </w:rPr>
            </w:pPr>
          </w:p>
        </w:tc>
        <w:tc>
          <w:tcPr>
            <w:tcW w:w="703" w:type="pct"/>
            <w:tcBorders>
              <w:top w:val="single" w:color="auto" w:sz="6" w:space="0"/>
              <w:left w:val="single" w:color="auto" w:sz="6" w:space="0"/>
              <w:bottom w:val="single" w:color="auto" w:sz="6" w:space="0"/>
              <w:right w:val="single" w:color="auto" w:sz="6" w:space="0"/>
            </w:tcBorders>
          </w:tcPr>
          <w:p w14:paraId="67CAF8B6">
            <w:pPr>
              <w:tabs>
                <w:tab w:val="left" w:pos="9765"/>
              </w:tabs>
              <w:autoSpaceDE w:val="0"/>
              <w:autoSpaceDN w:val="0"/>
              <w:adjustRightInd w:val="0"/>
              <w:snapToGrid w:val="0"/>
              <w:spacing w:line="360" w:lineRule="auto"/>
              <w:rPr>
                <w:rFonts w:ascii="仿宋_GB2312" w:hAnsi="华文仿宋" w:eastAsia="仿宋_GB2312"/>
                <w:szCs w:val="21"/>
              </w:rPr>
            </w:pPr>
          </w:p>
        </w:tc>
        <w:tc>
          <w:tcPr>
            <w:tcW w:w="1015" w:type="pct"/>
            <w:tcBorders>
              <w:top w:val="single" w:color="auto" w:sz="6" w:space="0"/>
              <w:left w:val="single" w:color="auto" w:sz="6" w:space="0"/>
              <w:bottom w:val="single" w:color="auto" w:sz="6" w:space="0"/>
              <w:right w:val="single" w:color="auto" w:sz="6" w:space="0"/>
            </w:tcBorders>
          </w:tcPr>
          <w:p w14:paraId="077A9A58">
            <w:pPr>
              <w:tabs>
                <w:tab w:val="left" w:pos="9765"/>
              </w:tabs>
              <w:autoSpaceDE w:val="0"/>
              <w:autoSpaceDN w:val="0"/>
              <w:adjustRightInd w:val="0"/>
              <w:snapToGrid w:val="0"/>
              <w:spacing w:line="360" w:lineRule="auto"/>
              <w:rPr>
                <w:rFonts w:ascii="仿宋_GB2312" w:hAnsi="华文仿宋" w:eastAsia="仿宋_GB2312"/>
                <w:szCs w:val="21"/>
              </w:rPr>
            </w:pPr>
          </w:p>
        </w:tc>
        <w:tc>
          <w:tcPr>
            <w:tcW w:w="937" w:type="pct"/>
            <w:tcBorders>
              <w:top w:val="single" w:color="auto" w:sz="6" w:space="0"/>
              <w:left w:val="single" w:color="auto" w:sz="6" w:space="0"/>
              <w:bottom w:val="single" w:color="auto" w:sz="6" w:space="0"/>
              <w:right w:val="single" w:color="auto" w:sz="6" w:space="0"/>
            </w:tcBorders>
          </w:tcPr>
          <w:p w14:paraId="43F2A044">
            <w:pPr>
              <w:tabs>
                <w:tab w:val="left" w:pos="9765"/>
              </w:tabs>
              <w:autoSpaceDE w:val="0"/>
              <w:autoSpaceDN w:val="0"/>
              <w:adjustRightInd w:val="0"/>
              <w:snapToGrid w:val="0"/>
              <w:spacing w:line="360" w:lineRule="auto"/>
              <w:rPr>
                <w:rFonts w:ascii="仿宋_GB2312" w:hAnsi="华文仿宋" w:eastAsia="仿宋_GB2312"/>
                <w:szCs w:val="21"/>
              </w:rPr>
            </w:pPr>
          </w:p>
        </w:tc>
      </w:tr>
    </w:tbl>
    <w:p w14:paraId="0C8D7B9E">
      <w:pPr>
        <w:tabs>
          <w:tab w:val="left" w:pos="9765"/>
        </w:tabs>
        <w:autoSpaceDE w:val="0"/>
        <w:autoSpaceDN w:val="0"/>
        <w:adjustRightInd w:val="0"/>
        <w:snapToGrid w:val="0"/>
        <w:spacing w:line="360" w:lineRule="auto"/>
        <w:ind w:firstLine="315"/>
        <w:rPr>
          <w:rFonts w:ascii="仿宋_GB2312" w:hAnsi="华文仿宋" w:eastAsia="仿宋_GB2312"/>
          <w:szCs w:val="21"/>
        </w:rPr>
      </w:pPr>
      <w:r>
        <w:rPr>
          <w:rFonts w:hint="eastAsia" w:ascii="仿宋_GB2312" w:hAnsi="华文仿宋" w:eastAsia="仿宋_GB2312"/>
          <w:szCs w:val="21"/>
          <w:lang w:val="zh-CN"/>
        </w:rPr>
        <w:t>注：请附合同复印件。</w:t>
      </w:r>
    </w:p>
    <w:p w14:paraId="0003E215">
      <w:pPr>
        <w:snapToGrid w:val="0"/>
        <w:spacing w:line="360" w:lineRule="auto"/>
        <w:rPr>
          <w:rFonts w:ascii="仿宋_GB2312" w:hAnsi="华文仿宋" w:eastAsia="仿宋_GB2312"/>
          <w:sz w:val="24"/>
        </w:rPr>
      </w:pPr>
    </w:p>
    <w:p w14:paraId="19CD7A71">
      <w:pPr>
        <w:snapToGrid w:val="0"/>
        <w:spacing w:line="360" w:lineRule="auto"/>
        <w:rPr>
          <w:rFonts w:ascii="仿宋_GB2312" w:hAnsi="华文仿宋" w:eastAsia="仿宋_GB2312"/>
          <w:sz w:val="24"/>
        </w:rPr>
      </w:pPr>
    </w:p>
    <w:p w14:paraId="56DAEECF">
      <w:pPr>
        <w:snapToGrid w:val="0"/>
        <w:spacing w:line="360" w:lineRule="auto"/>
        <w:rPr>
          <w:rFonts w:ascii="仿宋_GB2312" w:hAnsi="华文仿宋" w:eastAsia="仿宋_GB2312"/>
          <w:sz w:val="24"/>
        </w:rPr>
      </w:pPr>
      <w:r>
        <w:rPr>
          <w:rFonts w:hint="eastAsia" w:ascii="仿宋_GB2312" w:hAnsi="华文仿宋" w:eastAsia="仿宋_GB2312"/>
          <w:sz w:val="24"/>
        </w:rPr>
        <w:t>法人代表或代理人签字：</w:t>
      </w:r>
    </w:p>
    <w:p w14:paraId="70C30C46">
      <w:pPr>
        <w:snapToGrid w:val="0"/>
        <w:spacing w:line="360" w:lineRule="auto"/>
        <w:rPr>
          <w:rFonts w:ascii="仿宋_GB2312" w:hAnsi="华文仿宋" w:eastAsia="仿宋_GB2312"/>
          <w:sz w:val="24"/>
        </w:rPr>
      </w:pPr>
      <w:r>
        <w:rPr>
          <w:rFonts w:hint="eastAsia" w:ascii="仿宋_GB2312" w:hAnsi="华文仿宋" w:eastAsia="仿宋_GB2312"/>
          <w:sz w:val="24"/>
        </w:rPr>
        <w:t>日期：</w:t>
      </w:r>
    </w:p>
    <w:p w14:paraId="12EDB265">
      <w:pPr>
        <w:snapToGrid w:val="0"/>
        <w:rPr>
          <w:rFonts w:ascii="仿宋_GB2312" w:eastAsia="仿宋_GB2312"/>
          <w:b/>
          <w:sz w:val="28"/>
          <w:szCs w:val="28"/>
        </w:rPr>
      </w:pPr>
    </w:p>
    <w:p w14:paraId="2DF98453">
      <w:pPr>
        <w:snapToGrid w:val="0"/>
        <w:rPr>
          <w:rFonts w:ascii="仿宋_GB2312" w:eastAsia="仿宋_GB2312"/>
          <w:b/>
          <w:sz w:val="28"/>
          <w:szCs w:val="28"/>
        </w:rPr>
      </w:pPr>
    </w:p>
    <w:p w14:paraId="103C61C5">
      <w:pPr>
        <w:snapToGrid w:val="0"/>
        <w:rPr>
          <w:rFonts w:ascii="仿宋_GB2312" w:eastAsia="仿宋_GB2312"/>
          <w:b/>
          <w:sz w:val="28"/>
          <w:szCs w:val="28"/>
        </w:rPr>
      </w:pPr>
    </w:p>
    <w:p w14:paraId="22647AA0">
      <w:pPr>
        <w:snapToGrid w:val="0"/>
        <w:rPr>
          <w:rFonts w:ascii="仿宋_GB2312" w:eastAsia="仿宋_GB2312"/>
          <w:b/>
          <w:sz w:val="28"/>
          <w:szCs w:val="28"/>
        </w:rPr>
      </w:pPr>
    </w:p>
    <w:p w14:paraId="3D1152C1">
      <w:pPr>
        <w:snapToGrid w:val="0"/>
        <w:rPr>
          <w:rFonts w:ascii="仿宋_GB2312" w:eastAsia="仿宋_GB2312"/>
          <w:b/>
          <w:sz w:val="28"/>
          <w:szCs w:val="28"/>
        </w:rPr>
      </w:pPr>
    </w:p>
    <w:p w14:paraId="2AAE89CB">
      <w:pPr>
        <w:snapToGrid w:val="0"/>
        <w:rPr>
          <w:rFonts w:ascii="仿宋_GB2312" w:eastAsia="仿宋_GB2312"/>
          <w:b/>
          <w:sz w:val="28"/>
          <w:szCs w:val="28"/>
        </w:rPr>
      </w:pPr>
    </w:p>
    <w:p w14:paraId="78B3C7CA">
      <w:pPr>
        <w:snapToGrid w:val="0"/>
        <w:rPr>
          <w:rFonts w:ascii="仿宋_GB2312" w:eastAsia="仿宋_GB2312"/>
          <w:b/>
          <w:sz w:val="28"/>
          <w:szCs w:val="28"/>
        </w:rPr>
      </w:pPr>
    </w:p>
    <w:p w14:paraId="15B35839">
      <w:pPr>
        <w:snapToGrid w:val="0"/>
        <w:rPr>
          <w:rFonts w:ascii="仿宋_GB2312" w:eastAsia="仿宋_GB2312"/>
          <w:b/>
          <w:sz w:val="28"/>
          <w:szCs w:val="28"/>
        </w:rPr>
      </w:pPr>
    </w:p>
    <w:p w14:paraId="523477F8">
      <w:pPr>
        <w:snapToGrid w:val="0"/>
        <w:rPr>
          <w:rFonts w:ascii="仿宋_GB2312" w:eastAsia="仿宋_GB2312"/>
          <w:b/>
          <w:sz w:val="28"/>
          <w:szCs w:val="28"/>
        </w:rPr>
      </w:pPr>
    </w:p>
    <w:p w14:paraId="02145108">
      <w:pPr>
        <w:snapToGrid w:val="0"/>
        <w:rPr>
          <w:rFonts w:ascii="仿宋_GB2312" w:eastAsia="仿宋_GB2312"/>
          <w:b/>
          <w:sz w:val="28"/>
          <w:szCs w:val="28"/>
        </w:rPr>
      </w:pPr>
    </w:p>
    <w:p w14:paraId="7B33548F">
      <w:pPr>
        <w:snapToGrid w:val="0"/>
        <w:rPr>
          <w:rFonts w:ascii="仿宋_GB2312" w:eastAsia="仿宋_GB2312"/>
          <w:b/>
          <w:sz w:val="28"/>
          <w:szCs w:val="28"/>
        </w:rPr>
      </w:pPr>
    </w:p>
    <w:p w14:paraId="215B7834">
      <w:pPr>
        <w:snapToGrid w:val="0"/>
        <w:rPr>
          <w:rFonts w:ascii="仿宋_GB2312" w:eastAsia="仿宋_GB2312"/>
          <w:b/>
          <w:sz w:val="28"/>
          <w:szCs w:val="28"/>
        </w:rPr>
      </w:pPr>
      <w:r>
        <w:rPr>
          <w:rFonts w:hint="eastAsia" w:ascii="仿宋_GB2312" w:eastAsia="仿宋_GB2312"/>
          <w:b/>
          <w:sz w:val="28"/>
          <w:szCs w:val="28"/>
        </w:rPr>
        <w:t>附件六：</w:t>
      </w:r>
    </w:p>
    <w:p w14:paraId="265C5CFB">
      <w:pPr>
        <w:snapToGrid w:val="0"/>
        <w:jc w:val="center"/>
        <w:rPr>
          <w:rFonts w:ascii="仿宋_GB2312" w:eastAsia="仿宋_GB2312"/>
          <w:b/>
          <w:sz w:val="28"/>
          <w:szCs w:val="28"/>
        </w:rPr>
      </w:pPr>
      <w:r>
        <w:rPr>
          <w:rFonts w:hint="eastAsia" w:ascii="仿宋_GB2312" w:eastAsia="仿宋_GB2312"/>
          <w:b/>
          <w:sz w:val="28"/>
          <w:szCs w:val="28"/>
        </w:rPr>
        <w:t>项目需求</w:t>
      </w:r>
    </w:p>
    <w:p w14:paraId="799DC3DD">
      <w:pPr>
        <w:rPr>
          <w:rFonts w:ascii="宋体" w:hAnsi="宋体"/>
          <w:bCs/>
          <w:sz w:val="28"/>
          <w:szCs w:val="28"/>
        </w:rPr>
      </w:pPr>
    </w:p>
    <w:p w14:paraId="66009E7A">
      <w:pPr>
        <w:spacing w:line="400" w:lineRule="exact"/>
        <w:jc w:val="center"/>
        <w:rPr>
          <w:rFonts w:ascii="宋体" w:hAnsi="宋体"/>
          <w:bCs/>
          <w:sz w:val="28"/>
          <w:szCs w:val="28"/>
        </w:rPr>
      </w:pPr>
      <w:r>
        <w:rPr>
          <w:rFonts w:hint="eastAsia" w:ascii="宋体" w:hAnsi="宋体"/>
          <w:b/>
          <w:sz w:val="28"/>
          <w:szCs w:val="28"/>
        </w:rPr>
        <w:t>项目技术要求和有关说明</w:t>
      </w:r>
    </w:p>
    <w:p w14:paraId="60820F35">
      <w:pPr>
        <w:pStyle w:val="61"/>
        <w:numPr>
          <w:ilvl w:val="0"/>
          <w:numId w:val="3"/>
        </w:numPr>
        <w:spacing w:afterLines="50" w:line="360" w:lineRule="auto"/>
        <w:ind w:left="1378" w:hanging="811" w:firstLineChars="0"/>
        <w:jc w:val="left"/>
        <w:outlineLvl w:val="0"/>
        <w:rPr>
          <w:rFonts w:ascii="宋体" w:hAnsi="宋体"/>
          <w:b/>
          <w:bCs/>
          <w:sz w:val="28"/>
          <w:szCs w:val="28"/>
        </w:rPr>
      </w:pPr>
      <w:r>
        <w:rPr>
          <w:rFonts w:hint="eastAsia" w:ascii="宋体" w:hAnsi="宋体"/>
          <w:b/>
          <w:bCs/>
          <w:sz w:val="28"/>
          <w:szCs w:val="28"/>
        </w:rPr>
        <w:t>项目技术要求：</w:t>
      </w:r>
    </w:p>
    <w:p w14:paraId="751CA54A">
      <w:pPr>
        <w:pStyle w:val="76"/>
        <w:spacing w:beforeLines="0" w:afterLines="0"/>
        <w:rPr>
          <w:rFonts w:ascii="仿宋_GB2312" w:eastAsia="仿宋_GB2312"/>
        </w:rPr>
      </w:pPr>
      <w:r>
        <w:rPr>
          <w:rFonts w:hint="eastAsia" w:ascii="仿宋_GB2312" w:eastAsia="仿宋_GB2312"/>
        </w:rPr>
        <w:t>1、项目建设目标</w:t>
      </w:r>
    </w:p>
    <w:p w14:paraId="308F9BB7">
      <w:pPr>
        <w:pStyle w:val="76"/>
        <w:spacing w:beforeLines="0" w:afterLines="0"/>
        <w:rPr>
          <w:rFonts w:ascii="仿宋_GB2312" w:eastAsia="仿宋_GB2312"/>
        </w:rPr>
      </w:pPr>
      <w:r>
        <w:rPr>
          <w:rFonts w:hint="eastAsia" w:ascii="仿宋_GB2312" w:eastAsia="仿宋_GB2312"/>
        </w:rPr>
        <w:t>天宁财政局财政一体化软件升级改造系统的建设目标为：按照“金财工程”要求，通过构建财政应用支撑平台，逐步构建覆盖所有财政性资金、辐射街道财政局和预算单位的财政一体化升级改造管理信息系统。从根本上解决财政内部各业务系统之间存在的流程分割、信息孤岛等问题，真正实现各业务系统之间的互通协作、无缝对接和数据共享；实现财政内部各业务、财政与预算单位、财政与下级财政信息的互通互联；实现预算自动汇编、收支及时汇总；实现对预算编制、执行、管理工作事前、事中、事后全程的监控，使财政资金的管理使用更加公开、透明、高效；同时必须保证与现天宁区财政局使用的大部分用友政务财政软件系统无缝对接，并实现接收郑陆镇在武进区财政局原有用友政务财政数据无缝对接。</w:t>
      </w:r>
    </w:p>
    <w:p w14:paraId="1D48E454">
      <w:pPr>
        <w:pStyle w:val="76"/>
        <w:spacing w:beforeLines="0" w:afterLines="0"/>
        <w:rPr>
          <w:rFonts w:ascii="仿宋_GB2312" w:eastAsia="仿宋_GB2312"/>
        </w:rPr>
      </w:pPr>
      <w:r>
        <w:rPr>
          <w:rFonts w:hint="eastAsia" w:ascii="仿宋_GB2312" w:eastAsia="仿宋_GB2312"/>
        </w:rPr>
        <w:t>具体目标是实现三个“一体化”：</w:t>
      </w:r>
    </w:p>
    <w:p w14:paraId="38300447">
      <w:pPr>
        <w:pStyle w:val="76"/>
        <w:spacing w:beforeLines="0" w:afterLines="0"/>
        <w:rPr>
          <w:rFonts w:ascii="仿宋_GB2312" w:eastAsia="仿宋_GB2312"/>
        </w:rPr>
      </w:pPr>
      <w:r>
        <w:rPr>
          <w:rFonts w:hint="eastAsia" w:ascii="仿宋_GB2312" w:eastAsia="仿宋_GB2312"/>
        </w:rPr>
        <w:t>一是“基础数据一体化”。采用财政标准数据规范，将表层系统的各种业务数据按统一的编码标准构建包含财政收支、账务、人员等多种信息的数据中心。将各“信息孤岛”连为一体，改变以往数据分散存储、数据编码不统一、数据口径不一致的状况。为开展数据统计分析工作提供全面、丰富的数据信息，实现对预算安排、收支情况、执行进度等多方面的即时反映和综合分析，进一步提升财政科学决策水平。</w:t>
      </w:r>
    </w:p>
    <w:p w14:paraId="1458ED31">
      <w:pPr>
        <w:pStyle w:val="76"/>
        <w:spacing w:beforeLines="0" w:afterLines="0"/>
        <w:rPr>
          <w:rFonts w:ascii="仿宋_GB2312" w:eastAsia="仿宋_GB2312"/>
        </w:rPr>
      </w:pPr>
      <w:r>
        <w:rPr>
          <w:rFonts w:hint="eastAsia" w:ascii="仿宋_GB2312" w:eastAsia="仿宋_GB2312"/>
        </w:rPr>
        <w:t>二是“业务处理一体化”。以资金流为导向，优化业务流程，实现从预算编制、指标管理、资金收付、会计核算等业务处理的全面一体化，确保业务系统有效衔接、相关数据自由流转、信息资源高度共享、工作流程环环相扣。</w:t>
      </w:r>
    </w:p>
    <w:p w14:paraId="1F25B211">
      <w:pPr>
        <w:pStyle w:val="76"/>
        <w:spacing w:beforeLines="0" w:afterLines="0"/>
        <w:rPr>
          <w:rFonts w:ascii="仿宋_GB2312" w:eastAsia="仿宋_GB2312"/>
        </w:rPr>
      </w:pPr>
      <w:r>
        <w:rPr>
          <w:rFonts w:hint="eastAsia" w:ascii="仿宋_GB2312" w:eastAsia="仿宋_GB2312"/>
        </w:rPr>
        <w:t>三是“财政监管一体化”。利用一体化建设，完善事前预算、事中控制、事后分析评价机制，全面反映预算及预算执行、国库资金收付、单位财务核算等情况，实现不同职能部门和业务环节的信息透明，全方位、全程化地落实财政内部控制、纵向垂直监管以及横向多方监督，确保财政资金的安全高效运行。</w:t>
      </w:r>
    </w:p>
    <w:p w14:paraId="608471A7">
      <w:pPr>
        <w:pStyle w:val="61"/>
        <w:spacing w:line="360" w:lineRule="auto"/>
        <w:ind w:firstLineChars="0"/>
        <w:jc w:val="left"/>
        <w:outlineLvl w:val="1"/>
        <w:rPr>
          <w:rFonts w:ascii="仿宋" w:hAnsi="仿宋" w:eastAsia="仿宋"/>
          <w:b/>
          <w:bCs/>
          <w:sz w:val="24"/>
        </w:rPr>
      </w:pPr>
      <w:r>
        <w:rPr>
          <w:rFonts w:hint="eastAsia" w:ascii="仿宋" w:hAnsi="仿宋" w:eastAsia="仿宋"/>
          <w:b/>
          <w:bCs/>
          <w:sz w:val="24"/>
        </w:rPr>
        <w:t>2、项目建设原则</w:t>
      </w:r>
    </w:p>
    <w:p w14:paraId="0DB87667">
      <w:pPr>
        <w:pStyle w:val="76"/>
        <w:numPr>
          <w:ilvl w:val="0"/>
          <w:numId w:val="4"/>
        </w:numPr>
        <w:spacing w:beforeLines="0" w:afterLines="0"/>
        <w:ind w:firstLineChars="0"/>
        <w:rPr>
          <w:rFonts w:ascii="仿宋_GB2312" w:eastAsia="仿宋_GB2312"/>
        </w:rPr>
      </w:pPr>
      <w:r>
        <w:rPr>
          <w:rFonts w:hint="eastAsia" w:ascii="仿宋_GB2312" w:eastAsia="仿宋_GB2312"/>
        </w:rPr>
        <w:t>灵活性：具有灵活的流程定制、变更机制。</w:t>
      </w:r>
    </w:p>
    <w:p w14:paraId="6D51A628">
      <w:pPr>
        <w:pStyle w:val="76"/>
        <w:numPr>
          <w:ilvl w:val="0"/>
          <w:numId w:val="4"/>
        </w:numPr>
        <w:spacing w:beforeLines="0" w:afterLines="0"/>
        <w:ind w:firstLineChars="0"/>
        <w:rPr>
          <w:rFonts w:ascii="仿宋_GB2312" w:eastAsia="仿宋_GB2312"/>
        </w:rPr>
      </w:pPr>
      <w:r>
        <w:rPr>
          <w:rFonts w:hint="eastAsia" w:ascii="仿宋_GB2312" w:eastAsia="仿宋_GB2312"/>
        </w:rPr>
        <w:t>扩展性：一体化系统要从结构上支撑、适应未来财政改革和业务变化、发展需要，根据管理需要能较快速做出调整。</w:t>
      </w:r>
    </w:p>
    <w:p w14:paraId="482C5931">
      <w:pPr>
        <w:pStyle w:val="76"/>
        <w:numPr>
          <w:ilvl w:val="0"/>
          <w:numId w:val="4"/>
        </w:numPr>
        <w:spacing w:beforeLines="0" w:afterLines="0"/>
        <w:ind w:firstLineChars="0"/>
        <w:rPr>
          <w:rFonts w:ascii="仿宋_GB2312" w:eastAsia="仿宋_GB2312"/>
        </w:rPr>
      </w:pPr>
      <w:r>
        <w:rPr>
          <w:rFonts w:hint="eastAsia" w:ascii="仿宋_GB2312" w:eastAsia="仿宋_GB2312"/>
        </w:rPr>
        <w:t>稳定性：系统采取应用层、驱动层、控制层三层结构，实现底层结构的相对稳定。具有完善的错误处理机制，应保证在正常情况下和极端情况下业务逻辑的正确性。</w:t>
      </w:r>
    </w:p>
    <w:p w14:paraId="13886FB3">
      <w:pPr>
        <w:pStyle w:val="76"/>
        <w:numPr>
          <w:ilvl w:val="0"/>
          <w:numId w:val="4"/>
        </w:numPr>
        <w:spacing w:beforeLines="0" w:afterLines="0"/>
        <w:ind w:firstLineChars="0"/>
        <w:rPr>
          <w:rFonts w:ascii="仿宋_GB2312" w:eastAsia="仿宋_GB2312"/>
        </w:rPr>
      </w:pPr>
      <w:r>
        <w:rPr>
          <w:rFonts w:hint="eastAsia" w:ascii="仿宋_GB2312" w:eastAsia="仿宋_GB2312"/>
        </w:rPr>
        <w:t>安全性：保障原有数据安全。</w:t>
      </w:r>
    </w:p>
    <w:p w14:paraId="52C7C9FD">
      <w:pPr>
        <w:pStyle w:val="76"/>
        <w:numPr>
          <w:ilvl w:val="0"/>
          <w:numId w:val="4"/>
        </w:numPr>
        <w:spacing w:beforeLines="0" w:afterLines="0"/>
        <w:ind w:firstLineChars="0"/>
        <w:rPr>
          <w:rFonts w:ascii="仿宋_GB2312" w:eastAsia="仿宋_GB2312"/>
        </w:rPr>
      </w:pPr>
      <w:r>
        <w:rPr>
          <w:rFonts w:hint="eastAsia" w:ascii="仿宋_GB2312" w:eastAsia="仿宋_GB2312"/>
        </w:rPr>
        <w:t>易用性：系统结构清晰，业务功能模块界面风格一致，符合用户使用习惯，对于新用户或不常使用产品的用户通过简单的培训即可上手使用。</w:t>
      </w:r>
    </w:p>
    <w:p w14:paraId="0E5B004B">
      <w:pPr>
        <w:pStyle w:val="76"/>
        <w:numPr>
          <w:ilvl w:val="0"/>
          <w:numId w:val="4"/>
        </w:numPr>
        <w:spacing w:beforeLines="0" w:afterLines="0"/>
        <w:ind w:firstLineChars="0"/>
        <w:rPr>
          <w:rFonts w:ascii="仿宋_GB2312" w:eastAsia="仿宋_GB2312"/>
        </w:rPr>
      </w:pPr>
      <w:r>
        <w:rPr>
          <w:rFonts w:hint="eastAsia" w:ascii="仿宋_GB2312" w:eastAsia="仿宋_GB2312"/>
        </w:rPr>
        <w:t>统一性：具有可控的数据字典、数据编码的建立、维护、同步、扩展机制，形成全系统元数据管理的标准和规范，达到全系统财政核心业务基础数据项管理、存储的统一性。</w:t>
      </w:r>
    </w:p>
    <w:p w14:paraId="18E7F050">
      <w:pPr>
        <w:pStyle w:val="76"/>
        <w:numPr>
          <w:ilvl w:val="0"/>
          <w:numId w:val="4"/>
        </w:numPr>
        <w:spacing w:beforeLines="0" w:afterLines="0"/>
        <w:ind w:firstLineChars="0"/>
        <w:rPr>
          <w:rFonts w:ascii="仿宋_GB2312" w:eastAsia="仿宋_GB2312"/>
        </w:rPr>
      </w:pPr>
      <w:r>
        <w:rPr>
          <w:rFonts w:hint="eastAsia" w:ascii="仿宋_GB2312" w:eastAsia="仿宋_GB2312"/>
        </w:rPr>
        <w:t>规范性：具有科学、合理的数据交换及接口规范，确保各业务系统数据的有效接入及财政部门与相关单位系统接口、数据交换的统一。</w:t>
      </w:r>
    </w:p>
    <w:p w14:paraId="66EC62B0">
      <w:pPr>
        <w:pStyle w:val="76"/>
        <w:spacing w:beforeLines="0" w:afterLines="0"/>
        <w:rPr>
          <w:rFonts w:ascii="仿宋_GB2312" w:eastAsia="仿宋_GB2312"/>
        </w:rPr>
      </w:pPr>
      <w:bookmarkStart w:id="0" w:name="_Toc362356593"/>
      <w:r>
        <w:rPr>
          <w:rFonts w:hint="eastAsia" w:ascii="仿宋_GB2312" w:eastAsia="仿宋_GB2312"/>
        </w:rPr>
        <w:t>3、项目建设内容</w:t>
      </w:r>
      <w:bookmarkEnd w:id="0"/>
    </w:p>
    <w:p w14:paraId="0580FA8B">
      <w:pPr>
        <w:pStyle w:val="76"/>
        <w:spacing w:beforeLines="0" w:afterLines="0"/>
        <w:rPr>
          <w:rFonts w:ascii="仿宋_GB2312" w:eastAsia="仿宋_GB2312"/>
        </w:rPr>
      </w:pPr>
      <w:r>
        <w:rPr>
          <w:rFonts w:hint="eastAsia" w:ascii="仿宋_GB2312" w:eastAsia="仿宋_GB2312"/>
        </w:rPr>
        <w:t>财政一体化系统建设的主要内容为：</w:t>
      </w:r>
      <w:bookmarkStart w:id="1" w:name="_Toc362356594"/>
      <w:bookmarkStart w:id="2" w:name="_Toc354412089"/>
    </w:p>
    <w:p w14:paraId="0A9A43AA">
      <w:pPr>
        <w:pStyle w:val="76"/>
        <w:spacing w:beforeLines="0" w:afterLines="0"/>
        <w:rPr>
          <w:rFonts w:ascii="仿宋_GB2312" w:eastAsia="仿宋_GB2312"/>
        </w:rPr>
      </w:pPr>
      <w:r>
        <w:rPr>
          <w:rFonts w:hint="eastAsia" w:ascii="仿宋_GB2312" w:eastAsia="仿宋_GB2312"/>
        </w:rPr>
        <w:t>（1）构建财政应用支撑平台</w:t>
      </w:r>
      <w:bookmarkEnd w:id="1"/>
      <w:bookmarkEnd w:id="2"/>
    </w:p>
    <w:p w14:paraId="6C1BACAB">
      <w:pPr>
        <w:pStyle w:val="76"/>
        <w:spacing w:beforeLines="0" w:afterLines="0"/>
        <w:rPr>
          <w:rFonts w:ascii="仿宋_GB2312" w:eastAsia="仿宋_GB2312"/>
        </w:rPr>
      </w:pPr>
      <w:r>
        <w:rPr>
          <w:rFonts w:hint="eastAsia" w:ascii="仿宋_GB2312" w:eastAsia="仿宋_GB2312"/>
        </w:rPr>
        <w:t>通过构建统一的数据交换平台，实现财政系统内外数据的“三通”，即财政内部，财政与预算单位、国库、银行等相关职能部门，天宁区财政局与下级财政的互联互通。</w:t>
      </w:r>
      <w:bookmarkStart w:id="3" w:name="_Toc362356595"/>
    </w:p>
    <w:p w14:paraId="3B0A24DF">
      <w:pPr>
        <w:pStyle w:val="76"/>
        <w:spacing w:beforeLines="0" w:afterLines="0"/>
        <w:rPr>
          <w:rFonts w:ascii="仿宋_GB2312" w:eastAsia="仿宋_GB2312"/>
        </w:rPr>
      </w:pPr>
      <w:r>
        <w:rPr>
          <w:rFonts w:hint="eastAsia" w:ascii="仿宋_GB2312" w:eastAsia="仿宋_GB2312"/>
        </w:rPr>
        <w:t>（2）建设五大类财政业务模块</w:t>
      </w:r>
      <w:bookmarkEnd w:id="3"/>
    </w:p>
    <w:p w14:paraId="7F9CDF1F">
      <w:pPr>
        <w:pStyle w:val="76"/>
        <w:spacing w:beforeLines="0" w:afterLines="0"/>
        <w:rPr>
          <w:rFonts w:ascii="仿宋_GB2312" w:eastAsia="仿宋_GB2312"/>
        </w:rPr>
      </w:pPr>
      <w:r>
        <w:rPr>
          <w:rFonts w:hint="eastAsia" w:ascii="仿宋_GB2312" w:eastAsia="仿宋_GB2312"/>
        </w:rPr>
        <w:t>预算编审系统：预算编审是指与财政收支计划有关的管理活动和职能事务，由预算编审、预算编审调整组成。内容上分为收入预算和支出总量预算，主要包括部门预算编制、政府性基金预算编制、社会保障预算编制、国有资本经营性预算编制等。</w:t>
      </w:r>
    </w:p>
    <w:p w14:paraId="54221CF6">
      <w:pPr>
        <w:pStyle w:val="76"/>
        <w:spacing w:beforeLines="0" w:afterLines="0"/>
        <w:rPr>
          <w:rFonts w:ascii="仿宋_GB2312" w:eastAsia="仿宋_GB2312"/>
        </w:rPr>
      </w:pPr>
      <w:r>
        <w:rPr>
          <w:rFonts w:hint="eastAsia" w:ascii="仿宋_GB2312" w:eastAsia="仿宋_GB2312"/>
        </w:rPr>
        <w:t>预算执行系统：预算执行是指与财政支出有关的管理活动和职能事务。主要包括指标管理（指标来源、指标通知单）、计划管理、支付管理（集中支付、资金实拨）、总账管理、出纳管理、公务卡管理等</w:t>
      </w:r>
      <w:r>
        <w:rPr>
          <w:rFonts w:ascii="仿宋_GB2312" w:eastAsia="仿宋_GB2312"/>
        </w:rPr>
        <w:t>。</w:t>
      </w:r>
    </w:p>
    <w:p w14:paraId="21102436">
      <w:pPr>
        <w:pStyle w:val="76"/>
        <w:spacing w:beforeLines="0" w:afterLines="0"/>
        <w:rPr>
          <w:rFonts w:ascii="仿宋_GB2312" w:eastAsia="仿宋_GB2312"/>
        </w:rPr>
      </w:pPr>
      <w:r>
        <w:rPr>
          <w:rFonts w:hint="eastAsia" w:ascii="仿宋_GB2312" w:eastAsia="仿宋_GB2312"/>
        </w:rPr>
        <w:t>非税</w:t>
      </w:r>
      <w:r>
        <w:rPr>
          <w:rFonts w:ascii="仿宋_GB2312" w:eastAsia="仿宋_GB2312"/>
        </w:rPr>
        <w:t>管理系统：</w:t>
      </w:r>
      <w:r>
        <w:rPr>
          <w:rFonts w:hint="eastAsia" w:ascii="仿宋_GB2312" w:eastAsia="仿宋_GB2312"/>
        </w:rPr>
        <w:t>非税</w:t>
      </w:r>
      <w:r>
        <w:rPr>
          <w:rFonts w:ascii="仿宋_GB2312" w:eastAsia="仿宋_GB2312"/>
        </w:rPr>
        <w:t>管理</w:t>
      </w:r>
      <w:r>
        <w:rPr>
          <w:rFonts w:hint="eastAsia" w:ascii="仿宋_GB2312" w:eastAsia="仿宋_GB2312"/>
        </w:rPr>
        <w:t>是指与财政收入有关的管理活动和职能事务。主要</w:t>
      </w:r>
      <w:r>
        <w:rPr>
          <w:rFonts w:ascii="仿宋_GB2312" w:eastAsia="仿宋_GB2312"/>
        </w:rPr>
        <w:t>包括</w:t>
      </w:r>
      <w:r>
        <w:rPr>
          <w:rFonts w:hint="eastAsia" w:ascii="仿宋_GB2312" w:eastAsia="仿宋_GB2312"/>
        </w:rPr>
        <w:t>非税</w:t>
      </w:r>
      <w:r>
        <w:rPr>
          <w:rFonts w:ascii="仿宋_GB2312" w:eastAsia="仿宋_GB2312"/>
        </w:rPr>
        <w:t>收</w:t>
      </w:r>
      <w:r>
        <w:rPr>
          <w:rFonts w:hint="eastAsia" w:ascii="仿宋_GB2312" w:eastAsia="仿宋_GB2312"/>
        </w:rPr>
        <w:t>入管理</w:t>
      </w:r>
      <w:r>
        <w:rPr>
          <w:rFonts w:ascii="仿宋_GB2312" w:eastAsia="仿宋_GB2312"/>
        </w:rPr>
        <w:t>，</w:t>
      </w:r>
      <w:r>
        <w:rPr>
          <w:rFonts w:hint="eastAsia" w:ascii="仿宋_GB2312" w:eastAsia="仿宋_GB2312"/>
        </w:rPr>
        <w:t>非税</w:t>
      </w:r>
      <w:r>
        <w:rPr>
          <w:rFonts w:ascii="仿宋_GB2312" w:eastAsia="仿宋_GB2312"/>
        </w:rPr>
        <w:t>票据</w:t>
      </w:r>
      <w:r>
        <w:rPr>
          <w:rFonts w:hint="eastAsia" w:ascii="仿宋_GB2312" w:eastAsia="仿宋_GB2312"/>
        </w:rPr>
        <w:t>管理</w:t>
      </w:r>
      <w:r>
        <w:rPr>
          <w:rFonts w:ascii="仿宋_GB2312" w:eastAsia="仿宋_GB2312"/>
        </w:rPr>
        <w:t>等。</w:t>
      </w:r>
    </w:p>
    <w:p w14:paraId="3B44DCB5">
      <w:pPr>
        <w:pStyle w:val="76"/>
        <w:spacing w:beforeLines="0" w:afterLines="0"/>
        <w:rPr>
          <w:rFonts w:ascii="仿宋_GB2312" w:eastAsia="仿宋_GB2312"/>
        </w:rPr>
      </w:pPr>
      <w:r>
        <w:rPr>
          <w:rFonts w:hint="eastAsia" w:ascii="仿宋_GB2312" w:eastAsia="仿宋_GB2312"/>
        </w:rPr>
        <w:t>工资</w:t>
      </w:r>
      <w:r>
        <w:rPr>
          <w:rFonts w:ascii="仿宋_GB2312" w:eastAsia="仿宋_GB2312"/>
        </w:rPr>
        <w:t>统发系统：</w:t>
      </w:r>
      <w:r>
        <w:rPr>
          <w:rFonts w:hint="eastAsia" w:ascii="仿宋_GB2312" w:eastAsia="仿宋_GB2312"/>
        </w:rPr>
        <w:t>财政工资统发，是指按照“编制部门核准编制、人事部门核定人员和工资、财政部门核拨经费、银行代发到人、及时足额到位”的管理原则，将财政资金安排的工资，通过国库单一帐户，委托代发银行直接统一的划拨到个人银行卡上的一种特殊的集中支付方式。工资统发</w:t>
      </w:r>
      <w:r>
        <w:rPr>
          <w:rFonts w:ascii="仿宋_GB2312" w:eastAsia="仿宋_GB2312"/>
        </w:rPr>
        <w:t>系统实现</w:t>
      </w:r>
      <w:r>
        <w:rPr>
          <w:rFonts w:hint="eastAsia" w:ascii="仿宋_GB2312" w:eastAsia="仿宋_GB2312"/>
        </w:rPr>
        <w:t>包括</w:t>
      </w:r>
      <w:r>
        <w:rPr>
          <w:rFonts w:ascii="仿宋_GB2312" w:eastAsia="仿宋_GB2312"/>
        </w:rPr>
        <w:t>工资</w:t>
      </w:r>
      <w:r>
        <w:rPr>
          <w:rFonts w:hint="eastAsia" w:ascii="仿宋_GB2312" w:eastAsia="仿宋_GB2312"/>
        </w:rPr>
        <w:t>填报</w:t>
      </w:r>
      <w:r>
        <w:rPr>
          <w:rFonts w:ascii="仿宋_GB2312" w:eastAsia="仿宋_GB2312"/>
        </w:rPr>
        <w:t>，</w:t>
      </w:r>
      <w:r>
        <w:rPr>
          <w:rFonts w:hint="eastAsia" w:ascii="仿宋_GB2312" w:eastAsia="仿宋_GB2312"/>
        </w:rPr>
        <w:t>工资</w:t>
      </w:r>
      <w:r>
        <w:rPr>
          <w:rFonts w:ascii="仿宋_GB2312" w:eastAsia="仿宋_GB2312"/>
        </w:rPr>
        <w:t>审核，</w:t>
      </w:r>
      <w:r>
        <w:rPr>
          <w:rFonts w:hint="eastAsia" w:ascii="仿宋_GB2312" w:eastAsia="仿宋_GB2312"/>
        </w:rPr>
        <w:t>工资</w:t>
      </w:r>
      <w:r>
        <w:rPr>
          <w:rFonts w:ascii="仿宋_GB2312" w:eastAsia="仿宋_GB2312"/>
        </w:rPr>
        <w:t>发放，</w:t>
      </w:r>
      <w:r>
        <w:rPr>
          <w:rFonts w:hint="eastAsia" w:ascii="仿宋_GB2312" w:eastAsia="仿宋_GB2312"/>
        </w:rPr>
        <w:t>其他</w:t>
      </w:r>
      <w:r>
        <w:rPr>
          <w:rFonts w:ascii="仿宋_GB2312" w:eastAsia="仿宋_GB2312"/>
        </w:rPr>
        <w:t>发放，</w:t>
      </w:r>
      <w:r>
        <w:rPr>
          <w:rFonts w:hint="eastAsia" w:ascii="仿宋_GB2312" w:eastAsia="仿宋_GB2312"/>
        </w:rPr>
        <w:t>公积金汇补缴，</w:t>
      </w:r>
      <w:r>
        <w:rPr>
          <w:rFonts w:ascii="仿宋_GB2312" w:eastAsia="仿宋_GB2312"/>
        </w:rPr>
        <w:t>银行代发等功能</w:t>
      </w:r>
      <w:r>
        <w:rPr>
          <w:rFonts w:hint="eastAsia" w:ascii="仿宋_GB2312" w:eastAsia="仿宋_GB2312"/>
        </w:rPr>
        <w:t>。</w:t>
      </w:r>
    </w:p>
    <w:p w14:paraId="2404CE02">
      <w:pPr>
        <w:pStyle w:val="76"/>
        <w:spacing w:beforeLines="0" w:afterLines="0"/>
        <w:rPr>
          <w:rFonts w:ascii="仿宋_GB2312" w:eastAsia="仿宋_GB2312"/>
        </w:rPr>
      </w:pPr>
      <w:r>
        <w:rPr>
          <w:rFonts w:hint="eastAsia" w:ascii="仿宋_GB2312" w:eastAsia="仿宋_GB2312"/>
        </w:rPr>
        <w:t>办公系统：行政办公OA系统（含公文管理、文档管理等）。</w:t>
      </w:r>
    </w:p>
    <w:p w14:paraId="76138380">
      <w:pPr>
        <w:pStyle w:val="76"/>
        <w:spacing w:beforeLines="0" w:afterLines="0"/>
        <w:rPr>
          <w:rFonts w:ascii="仿宋_GB2312" w:eastAsia="仿宋_GB2312"/>
        </w:rPr>
      </w:pPr>
      <w:r>
        <w:rPr>
          <w:rFonts w:hint="eastAsia" w:ascii="仿宋_GB2312" w:eastAsia="仿宋_GB2312"/>
        </w:rPr>
        <w:t>4、业务需求</w:t>
      </w:r>
    </w:p>
    <w:p w14:paraId="5199CD49">
      <w:pPr>
        <w:pStyle w:val="76"/>
        <w:spacing w:beforeLines="0" w:afterLines="0"/>
        <w:rPr>
          <w:rFonts w:ascii="仿宋_GB2312" w:eastAsia="仿宋_GB2312"/>
        </w:rPr>
      </w:pPr>
      <w:r>
        <w:rPr>
          <w:rFonts w:hint="eastAsia" w:ascii="仿宋_GB2312" w:eastAsia="仿宋_GB2312"/>
        </w:rPr>
        <w:t>根据《天宁区财政一体化系统总体建设方案》制定以下业务需求。</w:t>
      </w:r>
      <w:bookmarkStart w:id="4" w:name="_Toc362356598"/>
    </w:p>
    <w:bookmarkEnd w:id="4"/>
    <w:p w14:paraId="66B536DA">
      <w:pPr>
        <w:pStyle w:val="76"/>
        <w:spacing w:beforeLines="0" w:afterLines="0"/>
        <w:rPr>
          <w:rFonts w:ascii="仿宋_GB2312" w:eastAsia="仿宋_GB2312"/>
        </w:rPr>
      </w:pPr>
      <w:r>
        <w:rPr>
          <w:rFonts w:hint="eastAsia" w:ascii="仿宋_GB2312" w:eastAsia="仿宋_GB2312"/>
        </w:rPr>
        <w:t>4.1 预算编审类</w:t>
      </w:r>
    </w:p>
    <w:p w14:paraId="16D6AF72">
      <w:pPr>
        <w:pStyle w:val="76"/>
        <w:spacing w:beforeLines="0" w:afterLines="0"/>
        <w:rPr>
          <w:rFonts w:ascii="仿宋_GB2312" w:eastAsia="仿宋_GB2312"/>
        </w:rPr>
      </w:pPr>
      <w:r>
        <w:rPr>
          <w:rFonts w:hint="eastAsia" w:ascii="仿宋_GB2312" w:eastAsia="仿宋_GB2312"/>
        </w:rPr>
        <w:t>以预算编审业务为财政业务管理的源头，建立面向预算的基础信息库，使用定额分析、公共财政资金分配决策等分析模型，建立囊括收入和支出的预算编审业务体系，科学、合理地确定财力的预算分配方案。</w:t>
      </w:r>
    </w:p>
    <w:p w14:paraId="0F715E0B">
      <w:pPr>
        <w:pStyle w:val="76"/>
        <w:spacing w:beforeLines="0" w:afterLines="0"/>
        <w:rPr>
          <w:rFonts w:ascii="仿宋_GB2312" w:eastAsia="仿宋_GB2312"/>
        </w:rPr>
      </w:pPr>
      <w:r>
        <w:rPr>
          <w:rFonts w:hint="eastAsia" w:ascii="仿宋_GB2312" w:eastAsia="仿宋_GB2312"/>
        </w:rPr>
        <w:t>4.1.1 部门预算</w:t>
      </w:r>
    </w:p>
    <w:p w14:paraId="34611052">
      <w:pPr>
        <w:pStyle w:val="76"/>
        <w:spacing w:beforeLines="0" w:afterLines="0"/>
        <w:rPr>
          <w:rFonts w:ascii="仿宋_GB2312" w:eastAsia="仿宋_GB2312"/>
        </w:rPr>
      </w:pPr>
      <w:r>
        <w:rPr>
          <w:rFonts w:hint="eastAsia" w:ascii="仿宋_GB2312" w:eastAsia="仿宋_GB2312"/>
        </w:rPr>
        <w:t>通过部门预算编审模块实现由基层预算单位编制预算，逐级上报、审批、汇总，经财政部门审核，天宁区人大会议通过后，下达预算单位执行预算的信息化处理过程。编审流程可以在“一上一下”和“两上两下”两种方式中自由选择，既遵循财政部和省财政厅的相关政策、规范和标准，又符合天宁区的本地实际情况。</w:t>
      </w:r>
    </w:p>
    <w:p w14:paraId="17409D26">
      <w:pPr>
        <w:pStyle w:val="76"/>
        <w:spacing w:beforeLines="0" w:afterLines="0"/>
        <w:rPr>
          <w:rFonts w:ascii="仿宋_GB2312" w:eastAsia="仿宋_GB2312"/>
        </w:rPr>
      </w:pPr>
      <w:r>
        <w:rPr>
          <w:rFonts w:hint="eastAsia" w:ascii="仿宋_GB2312" w:eastAsia="仿宋_GB2312"/>
        </w:rPr>
        <w:t>部门预算包括收入预算和支出预算。</w:t>
      </w:r>
    </w:p>
    <w:p w14:paraId="4D84EA34">
      <w:pPr>
        <w:pStyle w:val="76"/>
        <w:spacing w:beforeLines="0" w:afterLines="0"/>
        <w:rPr>
          <w:rFonts w:ascii="仿宋_GB2312" w:eastAsia="仿宋_GB2312"/>
        </w:rPr>
      </w:pPr>
      <w:r>
        <w:rPr>
          <w:rFonts w:hint="eastAsia" w:ascii="仿宋_GB2312" w:eastAsia="仿宋_GB2312"/>
        </w:rPr>
        <w:t>（</w:t>
      </w:r>
      <w:r>
        <w:rPr>
          <w:rFonts w:ascii="仿宋_GB2312" w:eastAsia="仿宋_GB2312"/>
        </w:rPr>
        <w:t>1</w:t>
      </w:r>
      <w:r>
        <w:rPr>
          <w:rFonts w:hint="eastAsia" w:ascii="仿宋_GB2312" w:eastAsia="仿宋_GB2312"/>
        </w:rPr>
        <w:t>）收入预算：包含预算内收入、预算外收入、以及其他收入。预算内收入即财政拨款，包括经常性拨款和专项拨款。预算外收入即预算外拨款。其他收入包括上级补助收入、部省拨款、事业收入，附属单位缴款、经营收入、专项资金收入、其他收入等。根据单位实际情况在零基预算的基础上编审预算。</w:t>
      </w:r>
    </w:p>
    <w:p w14:paraId="741C822F">
      <w:pPr>
        <w:pStyle w:val="76"/>
        <w:spacing w:beforeLines="0" w:afterLines="0"/>
        <w:rPr>
          <w:rFonts w:ascii="仿宋_GB2312" w:eastAsia="仿宋_GB2312"/>
        </w:rPr>
      </w:pPr>
      <w:r>
        <w:rPr>
          <w:rFonts w:hint="eastAsia" w:ascii="仿宋_GB2312" w:eastAsia="仿宋_GB2312"/>
        </w:rPr>
        <w:t>（</w:t>
      </w:r>
      <w:r>
        <w:rPr>
          <w:rFonts w:ascii="仿宋_GB2312" w:eastAsia="仿宋_GB2312"/>
        </w:rPr>
        <w:t>2</w:t>
      </w:r>
      <w:r>
        <w:rPr>
          <w:rFonts w:hint="eastAsia" w:ascii="仿宋_GB2312" w:eastAsia="仿宋_GB2312"/>
        </w:rPr>
        <w:t>）支出预算：支出预算主要包含基本支出以及项目支出。根据国家财政部有关规定，支出预算编制要详细到经济科目的款级以下，功能科目要详细到项级。</w:t>
      </w:r>
    </w:p>
    <w:p w14:paraId="28F1F4B9">
      <w:pPr>
        <w:pStyle w:val="76"/>
        <w:spacing w:beforeLines="0" w:afterLines="0"/>
        <w:rPr>
          <w:rFonts w:ascii="仿宋_GB2312" w:eastAsia="仿宋_GB2312"/>
        </w:rPr>
      </w:pPr>
      <w:r>
        <w:rPr>
          <w:rFonts w:hint="eastAsia" w:ascii="仿宋_GB2312" w:eastAsia="仿宋_GB2312"/>
        </w:rPr>
        <w:t>4.1.1.1 业务功能</w:t>
      </w:r>
    </w:p>
    <w:p w14:paraId="78148A5B">
      <w:pPr>
        <w:pStyle w:val="76"/>
        <w:spacing w:beforeLines="0" w:afterLines="0"/>
        <w:rPr>
          <w:rFonts w:ascii="仿宋_GB2312" w:eastAsia="仿宋_GB2312"/>
        </w:rPr>
      </w:pPr>
      <w:r>
        <w:rPr>
          <w:rFonts w:hint="eastAsia" w:ascii="仿宋_GB2312" w:eastAsia="仿宋_GB2312"/>
        </w:rPr>
        <w:t>（</w:t>
      </w:r>
      <w:r>
        <w:rPr>
          <w:rFonts w:ascii="仿宋_GB2312" w:eastAsia="仿宋_GB2312"/>
        </w:rPr>
        <w:t>1</w:t>
      </w:r>
      <w:r>
        <w:rPr>
          <w:rFonts w:hint="eastAsia" w:ascii="仿宋_GB2312" w:eastAsia="仿宋_GB2312"/>
        </w:rPr>
        <w:t>）通过建立基础信息库，实现属于基本支出范围的单位综合信息、人员及工资信息（在职、离退休和其他人员）、单位资产、车辆等单位基础信息管理，作为计算人员支出及公用经费支出的依据。单位基础信息由单位用户录入。同时，通过基础变更库实现对预算单位基础数据的动态管理，自动生成基本支出调整预算。</w:t>
      </w:r>
    </w:p>
    <w:p w14:paraId="582A6FEA">
      <w:pPr>
        <w:pStyle w:val="76"/>
        <w:spacing w:beforeLines="0" w:afterLines="0"/>
        <w:rPr>
          <w:rFonts w:ascii="仿宋_GB2312" w:eastAsia="仿宋_GB2312"/>
        </w:rPr>
      </w:pPr>
      <w:r>
        <w:rPr>
          <w:rFonts w:hint="eastAsia" w:ascii="仿宋_GB2312" w:eastAsia="仿宋_GB2312"/>
        </w:rPr>
        <w:t>（2）实现网上数据填报和审核，达到数据集中存放、统一管理。包括：权限设置、系统参数设置、收入及支出项目类别、资金来源、支出统计口径设置等系统基础信息。</w:t>
      </w:r>
    </w:p>
    <w:p w14:paraId="40ED94EE">
      <w:pPr>
        <w:pStyle w:val="76"/>
        <w:spacing w:beforeLines="0" w:afterLines="0"/>
        <w:rPr>
          <w:rFonts w:ascii="仿宋_GB2312" w:eastAsia="仿宋_GB2312"/>
        </w:rPr>
      </w:pPr>
      <w:bookmarkStart w:id="5" w:name="sub7735678_2_2"/>
      <w:bookmarkEnd w:id="5"/>
      <w:bookmarkStart w:id="6" w:name="BM2_2"/>
      <w:bookmarkEnd w:id="6"/>
      <w:bookmarkStart w:id="7" w:name="BM2_6"/>
      <w:bookmarkEnd w:id="7"/>
      <w:bookmarkStart w:id="8" w:name="sub7735678_2_6"/>
      <w:bookmarkEnd w:id="8"/>
      <w:r>
        <w:rPr>
          <w:rFonts w:hint="eastAsia" w:ascii="仿宋_GB2312" w:eastAsia="仿宋_GB2312"/>
        </w:rPr>
        <w:t>（3）预算数据编审</w:t>
      </w:r>
    </w:p>
    <w:p w14:paraId="0BB285A3">
      <w:pPr>
        <w:pStyle w:val="76"/>
        <w:spacing w:beforeLines="0" w:afterLines="0"/>
        <w:rPr>
          <w:rFonts w:ascii="仿宋_GB2312" w:eastAsia="仿宋_GB2312"/>
        </w:rPr>
      </w:pPr>
      <w:r>
        <w:rPr>
          <w:rFonts w:hint="eastAsia" w:ascii="仿宋_GB2312" w:eastAsia="仿宋_GB2312"/>
        </w:rPr>
        <w:t>该功能分编制和审核二部分。</w:t>
      </w:r>
    </w:p>
    <w:p w14:paraId="3E35E1A4">
      <w:pPr>
        <w:pStyle w:val="76"/>
        <w:spacing w:beforeLines="0" w:afterLines="0"/>
        <w:rPr>
          <w:rFonts w:ascii="仿宋_GB2312" w:eastAsia="仿宋_GB2312"/>
        </w:rPr>
      </w:pPr>
      <w:r>
        <w:rPr>
          <w:rFonts w:hint="eastAsia" w:ascii="仿宋_GB2312" w:eastAsia="仿宋_GB2312"/>
        </w:rPr>
        <w:t>编制功能主要提供以下信息的编制：单位收入预算、单位非税征收计划、单位政府采购计划、单位支出资金汇总及来源分配等。</w:t>
      </w:r>
    </w:p>
    <w:p w14:paraId="3C3A831A">
      <w:pPr>
        <w:pStyle w:val="76"/>
        <w:spacing w:beforeLines="0" w:afterLines="0"/>
        <w:rPr>
          <w:rFonts w:ascii="仿宋_GB2312" w:eastAsia="仿宋_GB2312"/>
        </w:rPr>
      </w:pPr>
      <w:r>
        <w:rPr>
          <w:rFonts w:hint="eastAsia" w:ascii="仿宋_GB2312" w:eastAsia="仿宋_GB2312"/>
        </w:rPr>
        <w:t>审核功能为单位提供表间勾稽关系审核，为财政提供上报数据审核及审核意见的填写等。</w:t>
      </w:r>
    </w:p>
    <w:p w14:paraId="58318156">
      <w:pPr>
        <w:pStyle w:val="76"/>
        <w:spacing w:beforeLines="0" w:afterLines="0"/>
        <w:rPr>
          <w:rFonts w:ascii="仿宋_GB2312" w:eastAsia="仿宋_GB2312"/>
        </w:rPr>
      </w:pPr>
      <w:r>
        <w:rPr>
          <w:rFonts w:hint="eastAsia" w:ascii="仿宋_GB2312" w:eastAsia="仿宋_GB2312"/>
        </w:rPr>
        <w:t>支持定员定额</w:t>
      </w:r>
      <w:r>
        <w:rPr>
          <w:rFonts w:ascii="仿宋_GB2312" w:eastAsia="仿宋_GB2312"/>
        </w:rPr>
        <w:t>控制、</w:t>
      </w:r>
      <w:r>
        <w:rPr>
          <w:rFonts w:hint="eastAsia" w:ascii="仿宋_GB2312" w:eastAsia="仿宋_GB2312"/>
        </w:rPr>
        <w:t>财政</w:t>
      </w:r>
      <w:r>
        <w:rPr>
          <w:rFonts w:ascii="仿宋_GB2312" w:eastAsia="仿宋_GB2312"/>
        </w:rPr>
        <w:t>预算数控制、</w:t>
      </w:r>
      <w:r>
        <w:rPr>
          <w:rFonts w:hint="eastAsia" w:ascii="仿宋_GB2312" w:eastAsia="仿宋_GB2312"/>
        </w:rPr>
        <w:t>单位及专管员上报数据、退回数据、锁定数据等功能。</w:t>
      </w:r>
    </w:p>
    <w:p w14:paraId="771BB7B6">
      <w:pPr>
        <w:pStyle w:val="76"/>
        <w:spacing w:beforeLines="0" w:afterLines="0"/>
        <w:rPr>
          <w:rFonts w:ascii="仿宋_GB2312" w:eastAsia="仿宋_GB2312"/>
        </w:rPr>
      </w:pPr>
      <w:r>
        <w:rPr>
          <w:rFonts w:hint="eastAsia" w:ascii="仿宋_GB2312" w:eastAsia="仿宋_GB2312"/>
        </w:rPr>
        <w:t>（</w:t>
      </w:r>
      <w:r>
        <w:rPr>
          <w:rFonts w:ascii="仿宋_GB2312" w:eastAsia="仿宋_GB2312"/>
        </w:rPr>
        <w:t>5</w:t>
      </w:r>
      <w:r>
        <w:rPr>
          <w:rFonts w:hint="eastAsia" w:ascii="仿宋_GB2312" w:eastAsia="仿宋_GB2312"/>
        </w:rPr>
        <w:t>）指标导出</w:t>
      </w:r>
    </w:p>
    <w:p w14:paraId="46308B5A">
      <w:pPr>
        <w:pStyle w:val="76"/>
        <w:spacing w:beforeLines="0" w:afterLines="0"/>
        <w:rPr>
          <w:rFonts w:ascii="仿宋_GB2312" w:eastAsia="仿宋_GB2312"/>
        </w:rPr>
      </w:pPr>
      <w:r>
        <w:rPr>
          <w:rFonts w:hint="eastAsia" w:ascii="仿宋_GB2312" w:eastAsia="仿宋_GB2312"/>
        </w:rPr>
        <w:t>依据部门预算批复情况将预算数据分批按比例导入到指标系统</w:t>
      </w:r>
      <w:r>
        <w:rPr>
          <w:rFonts w:ascii="仿宋_GB2312" w:eastAsia="仿宋_GB2312"/>
        </w:rPr>
        <w:t>中</w:t>
      </w:r>
      <w:r>
        <w:rPr>
          <w:rFonts w:hint="eastAsia" w:ascii="仿宋_GB2312" w:eastAsia="仿宋_GB2312"/>
        </w:rPr>
        <w:t>生成</w:t>
      </w:r>
      <w:r>
        <w:rPr>
          <w:rFonts w:ascii="仿宋_GB2312" w:eastAsia="仿宋_GB2312"/>
        </w:rPr>
        <w:t>预算指标</w:t>
      </w:r>
      <w:r>
        <w:rPr>
          <w:rFonts w:hint="eastAsia" w:ascii="仿宋_GB2312" w:eastAsia="仿宋_GB2312"/>
        </w:rPr>
        <w:t>。</w:t>
      </w:r>
    </w:p>
    <w:p w14:paraId="2D404BB2">
      <w:pPr>
        <w:pStyle w:val="76"/>
        <w:spacing w:beforeLines="0" w:afterLines="0"/>
        <w:rPr>
          <w:rFonts w:ascii="仿宋_GB2312" w:eastAsia="仿宋_GB2312"/>
        </w:rPr>
      </w:pPr>
      <w:r>
        <w:rPr>
          <w:rFonts w:hint="eastAsia" w:ascii="仿宋_GB2312" w:eastAsia="仿宋_GB2312"/>
        </w:rPr>
        <w:t>4.1</w:t>
      </w:r>
      <w:r>
        <w:rPr>
          <w:rFonts w:ascii="仿宋_GB2312" w:eastAsia="仿宋_GB2312"/>
        </w:rPr>
        <w:t xml:space="preserve">.1.2 </w:t>
      </w:r>
      <w:r>
        <w:rPr>
          <w:rFonts w:hint="eastAsia" w:ascii="仿宋_GB2312" w:eastAsia="仿宋_GB2312"/>
        </w:rPr>
        <w:t>查询统计</w:t>
      </w:r>
    </w:p>
    <w:p w14:paraId="4931EF40">
      <w:pPr>
        <w:pStyle w:val="76"/>
        <w:spacing w:beforeLines="0" w:afterLines="0"/>
        <w:rPr>
          <w:rFonts w:ascii="仿宋_GB2312" w:eastAsia="仿宋_GB2312"/>
        </w:rPr>
      </w:pPr>
      <w:r>
        <w:rPr>
          <w:rFonts w:hint="eastAsia" w:ascii="仿宋_GB2312" w:eastAsia="仿宋_GB2312"/>
        </w:rPr>
        <w:t>面向财政部门和预算单位提供各自所需要的统计口径的数据报表。自动生成部门预算查询报表、年度统计分析报表等。可由业务人员按照不同的组织方式形成自定义的查询表。</w:t>
      </w:r>
    </w:p>
    <w:p w14:paraId="463EC059">
      <w:pPr>
        <w:pStyle w:val="76"/>
        <w:spacing w:beforeLines="0" w:afterLines="0"/>
        <w:rPr>
          <w:rFonts w:ascii="仿宋_GB2312" w:eastAsia="仿宋_GB2312"/>
        </w:rPr>
      </w:pPr>
      <w:r>
        <w:rPr>
          <w:rFonts w:hint="eastAsia" w:ascii="仿宋_GB2312" w:eastAsia="仿宋_GB2312"/>
        </w:rPr>
        <w:t>4.2预算执行类</w:t>
      </w:r>
    </w:p>
    <w:p w14:paraId="4411D108">
      <w:pPr>
        <w:pStyle w:val="76"/>
        <w:spacing w:beforeLines="0" w:afterLines="0"/>
        <w:rPr>
          <w:rFonts w:ascii="仿宋_GB2312" w:eastAsia="仿宋_GB2312"/>
        </w:rPr>
      </w:pPr>
      <w:r>
        <w:rPr>
          <w:rFonts w:hint="eastAsia" w:ascii="仿宋_GB2312" w:eastAsia="仿宋_GB2312"/>
        </w:rPr>
        <w:t>4.2.1指标管理</w:t>
      </w:r>
    </w:p>
    <w:p w14:paraId="4BC214F5">
      <w:pPr>
        <w:pStyle w:val="76"/>
        <w:spacing w:beforeLines="0" w:afterLines="0"/>
        <w:rPr>
          <w:rFonts w:ascii="仿宋_GB2312" w:eastAsia="仿宋_GB2312"/>
        </w:rPr>
      </w:pPr>
      <w:r>
        <w:rPr>
          <w:rFonts w:hint="eastAsia" w:ascii="仿宋_GB2312" w:eastAsia="仿宋_GB2312"/>
        </w:rPr>
        <w:t>预算指标管理的基本原则是，指标必须来源于预算，预算形成指标，指标最终为支付服务。预算指标管理的目标是，确保指标的脉络清晰，对指标管理全过程做到可追踪、可反馈，实现数据可控，流程精简，管理规范。预算指标的资金管理范围包括：预算编制批复数、上级补助资金、上年结转资金、预算结余资金等，各类资按各自的管理流程进行分配、执行。指标流动具有明显的层次管理关系。</w:t>
      </w:r>
    </w:p>
    <w:p w14:paraId="5F3BCCAF">
      <w:pPr>
        <w:pStyle w:val="76"/>
        <w:spacing w:beforeLines="0" w:afterLines="0"/>
        <w:rPr>
          <w:rFonts w:ascii="仿宋_GB2312" w:eastAsia="仿宋_GB2312"/>
        </w:rPr>
      </w:pPr>
      <w:r>
        <w:rPr>
          <w:rFonts w:hint="eastAsia" w:ascii="仿宋_GB2312" w:eastAsia="仿宋_GB2312"/>
        </w:rPr>
        <w:t>4.2.1.1业务功能</w:t>
      </w:r>
    </w:p>
    <w:p w14:paraId="6233A077">
      <w:pPr>
        <w:pStyle w:val="76"/>
        <w:spacing w:beforeLines="0" w:afterLines="0"/>
        <w:rPr>
          <w:rFonts w:ascii="仿宋_GB2312" w:eastAsia="仿宋_GB2312"/>
        </w:rPr>
      </w:pPr>
      <w:r>
        <w:rPr>
          <w:rFonts w:hint="eastAsia" w:ascii="仿宋_GB2312" w:eastAsia="仿宋_GB2312"/>
        </w:rPr>
        <w:t>预算编制数转执行：</w:t>
      </w:r>
    </w:p>
    <w:p w14:paraId="74599EB3">
      <w:pPr>
        <w:pStyle w:val="76"/>
        <w:spacing w:beforeLines="0" w:afterLines="0"/>
        <w:rPr>
          <w:rFonts w:ascii="仿宋_GB2312" w:eastAsia="仿宋_GB2312"/>
        </w:rPr>
      </w:pPr>
      <w:r>
        <w:rPr>
          <w:rFonts w:hint="eastAsia" w:ascii="仿宋_GB2312" w:eastAsia="仿宋_GB2312"/>
        </w:rPr>
        <w:t>财政预算下达后即转入执行系统执行，由指标管理功能管理。财政预算按一定的规则合并后生成预算单位的指标，通过多级审批后成为预算单位年初用款计划的控制数。</w:t>
      </w:r>
    </w:p>
    <w:p w14:paraId="6948F142">
      <w:pPr>
        <w:pStyle w:val="76"/>
        <w:spacing w:beforeLines="0" w:afterLines="0"/>
        <w:rPr>
          <w:rFonts w:ascii="仿宋_GB2312" w:eastAsia="仿宋_GB2312"/>
        </w:rPr>
      </w:pPr>
      <w:r>
        <w:rPr>
          <w:rFonts w:hint="eastAsia" w:ascii="仿宋_GB2312" w:eastAsia="仿宋_GB2312"/>
        </w:rPr>
        <w:t>指标管理与预算编制系统紧密衔接，对于年中预算调整，审批通过后即进入指标系统。</w:t>
      </w:r>
    </w:p>
    <w:p w14:paraId="23A842E1">
      <w:pPr>
        <w:pStyle w:val="76"/>
        <w:spacing w:beforeLines="0" w:afterLines="0"/>
        <w:rPr>
          <w:rFonts w:ascii="仿宋_GB2312" w:eastAsia="仿宋_GB2312"/>
        </w:rPr>
      </w:pPr>
      <w:r>
        <w:rPr>
          <w:rFonts w:hint="eastAsia" w:ascii="仿宋_GB2312" w:eastAsia="仿宋_GB2312"/>
        </w:rPr>
        <w:t>指标通知单管理：</w:t>
      </w:r>
    </w:p>
    <w:p w14:paraId="5A34501B">
      <w:pPr>
        <w:pStyle w:val="76"/>
        <w:spacing w:beforeLines="0" w:afterLines="0"/>
        <w:rPr>
          <w:rFonts w:ascii="仿宋_GB2312" w:eastAsia="仿宋_GB2312"/>
        </w:rPr>
      </w:pPr>
      <w:r>
        <w:rPr>
          <w:rFonts w:hint="eastAsia" w:ascii="仿宋_GB2312" w:eastAsia="仿宋_GB2312"/>
        </w:rPr>
        <w:t>指标通知单反映单位可执行指标。预算科专管员可以直接给单位、下级财政部门下达执行指标单，预算科也可以对单位指标进行调整和追减处理。</w:t>
      </w:r>
    </w:p>
    <w:p w14:paraId="3623A23A">
      <w:pPr>
        <w:pStyle w:val="76"/>
        <w:spacing w:beforeLines="0" w:afterLines="0"/>
        <w:rPr>
          <w:rFonts w:ascii="仿宋_GB2312" w:eastAsia="仿宋_GB2312"/>
        </w:rPr>
      </w:pPr>
      <w:r>
        <w:rPr>
          <w:rFonts w:hint="eastAsia" w:ascii="仿宋_GB2312" w:eastAsia="仿宋_GB2312"/>
        </w:rPr>
        <w:t>指标调整管理：</w:t>
      </w:r>
    </w:p>
    <w:p w14:paraId="69AE15EF">
      <w:pPr>
        <w:pStyle w:val="76"/>
        <w:spacing w:beforeLines="0" w:afterLines="0"/>
        <w:rPr>
          <w:rFonts w:ascii="仿宋_GB2312" w:eastAsia="仿宋_GB2312"/>
        </w:rPr>
      </w:pPr>
      <w:r>
        <w:rPr>
          <w:rFonts w:hint="eastAsia" w:ascii="仿宋_GB2312" w:eastAsia="仿宋_GB2312"/>
        </w:rPr>
        <w:t>指标调整用于在预算执行过程中不可测因素导致需要对预算进行追加、追减、调剂等情况时，对预算计划进行调整。</w:t>
      </w:r>
    </w:p>
    <w:p w14:paraId="56AB78B1">
      <w:pPr>
        <w:pStyle w:val="76"/>
        <w:spacing w:beforeLines="0" w:afterLines="0"/>
        <w:rPr>
          <w:rFonts w:ascii="仿宋_GB2312" w:eastAsia="仿宋_GB2312"/>
        </w:rPr>
      </w:pPr>
      <w:r>
        <w:rPr>
          <w:rFonts w:hint="eastAsia" w:ascii="仿宋_GB2312" w:eastAsia="仿宋_GB2312"/>
        </w:rPr>
        <w:t>指标调整主要分为以下几种类型：</w:t>
      </w:r>
    </w:p>
    <w:p w14:paraId="110A436D">
      <w:pPr>
        <w:pStyle w:val="76"/>
        <w:spacing w:beforeLines="0" w:afterLines="0"/>
        <w:rPr>
          <w:rFonts w:ascii="仿宋_GB2312" w:eastAsia="仿宋_GB2312"/>
        </w:rPr>
      </w:pPr>
      <w:r>
        <w:rPr>
          <w:rFonts w:hint="eastAsia" w:ascii="仿宋_GB2312" w:eastAsia="仿宋_GB2312"/>
        </w:rPr>
        <w:t>追加指标: 根据单位指标执行情况追加单位可执行指标,可以从部门预算中直接导入追加指标，也可以手工录入生成。</w:t>
      </w:r>
    </w:p>
    <w:p w14:paraId="633AE834">
      <w:pPr>
        <w:pStyle w:val="76"/>
        <w:spacing w:beforeLines="0" w:afterLines="0"/>
        <w:rPr>
          <w:rFonts w:ascii="仿宋_GB2312" w:eastAsia="仿宋_GB2312"/>
        </w:rPr>
      </w:pPr>
      <w:r>
        <w:rPr>
          <w:rFonts w:hint="eastAsia" w:ascii="仿宋_GB2312" w:eastAsia="仿宋_GB2312"/>
        </w:rPr>
        <w:t>追减指标: 对单位在指标执行过程实际支出小于预算的指标进行追减。追减后生成的预算结余经财政审批后，可重新分配和执行。</w:t>
      </w:r>
    </w:p>
    <w:p w14:paraId="5004DFFE">
      <w:pPr>
        <w:pStyle w:val="76"/>
        <w:spacing w:beforeLines="0" w:afterLines="0"/>
        <w:rPr>
          <w:rFonts w:ascii="仿宋_GB2312" w:eastAsia="仿宋_GB2312"/>
        </w:rPr>
      </w:pPr>
      <w:r>
        <w:rPr>
          <w:rFonts w:hint="eastAsia" w:ascii="仿宋_GB2312" w:eastAsia="仿宋_GB2312"/>
        </w:rPr>
        <w:t>科目调剂: 对指标结余进行功能和用途重新分配时，可对原指标的科目进行调剂。</w:t>
      </w:r>
    </w:p>
    <w:p w14:paraId="1F9EF3AE">
      <w:pPr>
        <w:pStyle w:val="76"/>
        <w:spacing w:beforeLines="0" w:afterLines="0"/>
        <w:rPr>
          <w:rFonts w:ascii="仿宋_GB2312" w:eastAsia="仿宋_GB2312"/>
        </w:rPr>
      </w:pPr>
      <w:r>
        <w:rPr>
          <w:rFonts w:hint="eastAsia" w:ascii="仿宋_GB2312" w:eastAsia="仿宋_GB2312"/>
        </w:rPr>
        <w:t>执行情况调整: 对于某些特殊情况，如年中科目体系调整、预下指标与正式批复指标存在差异等，由于指标已开始执行并发生实际支出，因此需要在对指标进行调整时，对已支出数进行同步调整。预算处需要向支出执行部门（国库、结算中心）出具支出调整依据，由会计人员对调整数进行会计核算。</w:t>
      </w:r>
    </w:p>
    <w:p w14:paraId="79FA639F">
      <w:pPr>
        <w:pStyle w:val="76"/>
        <w:spacing w:beforeLines="0" w:afterLines="0"/>
        <w:rPr>
          <w:rFonts w:ascii="仿宋_GB2312" w:eastAsia="仿宋_GB2312"/>
        </w:rPr>
      </w:pPr>
      <w:r>
        <w:rPr>
          <w:rFonts w:hint="eastAsia" w:ascii="仿宋_GB2312" w:eastAsia="仿宋_GB2312"/>
        </w:rPr>
        <w:t>指标结转管理：</w:t>
      </w:r>
    </w:p>
    <w:p w14:paraId="098F9D12">
      <w:pPr>
        <w:pStyle w:val="76"/>
        <w:spacing w:beforeLines="0" w:afterLines="0"/>
        <w:rPr>
          <w:rFonts w:ascii="仿宋_GB2312" w:eastAsia="仿宋_GB2312"/>
        </w:rPr>
      </w:pPr>
      <w:r>
        <w:rPr>
          <w:rFonts w:hint="eastAsia" w:ascii="仿宋_GB2312" w:eastAsia="仿宋_GB2312"/>
        </w:rPr>
        <w:t>财政在年终对于预算单位全年未使用完的预算指标，进行年终处理，并对部分需要结转到新年度的指标进行结转处理。</w:t>
      </w:r>
    </w:p>
    <w:p w14:paraId="1CEC72D8">
      <w:pPr>
        <w:pStyle w:val="76"/>
        <w:spacing w:beforeLines="0" w:afterLines="0"/>
        <w:rPr>
          <w:rFonts w:ascii="仿宋_GB2312" w:eastAsia="仿宋_GB2312"/>
        </w:rPr>
      </w:pPr>
      <w:r>
        <w:rPr>
          <w:rFonts w:hint="eastAsia" w:ascii="仿宋_GB2312" w:eastAsia="仿宋_GB2312"/>
        </w:rPr>
        <w:t>4.2.1.2查询统计</w:t>
      </w:r>
    </w:p>
    <w:p w14:paraId="3E0556B9">
      <w:pPr>
        <w:pStyle w:val="76"/>
        <w:spacing w:beforeLines="0" w:afterLines="0"/>
        <w:rPr>
          <w:rFonts w:ascii="仿宋_GB2312" w:eastAsia="仿宋_GB2312"/>
        </w:rPr>
      </w:pPr>
      <w:r>
        <w:rPr>
          <w:rFonts w:hint="eastAsia" w:ascii="仿宋_GB2312" w:eastAsia="仿宋_GB2312"/>
        </w:rPr>
        <w:t>根据相关科室业务开展要求，定制或自定义生成账本及报表查询,包括指标明细信息查询、指标执行情况、上级补助资金情况、指标结余结转情况等。实现由预算指标发起，向上可以追溯预算编制的情况，向下可以跟踪计划、支出情况的目标。</w:t>
      </w:r>
    </w:p>
    <w:p w14:paraId="07A4480C">
      <w:pPr>
        <w:pStyle w:val="76"/>
        <w:spacing w:beforeLines="0" w:afterLines="0"/>
        <w:rPr>
          <w:rFonts w:ascii="仿宋_GB2312" w:eastAsia="仿宋_GB2312"/>
        </w:rPr>
      </w:pPr>
      <w:r>
        <w:rPr>
          <w:rFonts w:hint="eastAsia" w:ascii="仿宋_GB2312" w:eastAsia="仿宋_GB2312"/>
        </w:rPr>
        <w:t>4.2.2计划管理</w:t>
      </w:r>
    </w:p>
    <w:p w14:paraId="270CF9A1">
      <w:pPr>
        <w:pStyle w:val="76"/>
        <w:spacing w:beforeLines="0" w:afterLines="0"/>
        <w:rPr>
          <w:rFonts w:ascii="仿宋_GB2312" w:eastAsia="仿宋_GB2312"/>
        </w:rPr>
      </w:pPr>
      <w:r>
        <w:rPr>
          <w:rFonts w:hint="eastAsia" w:ascii="仿宋_GB2312" w:eastAsia="仿宋_GB2312"/>
        </w:rPr>
        <w:t>计划管理是对分月用款计划的管理。分月用款计划是指预算单位在正式指标的范围内，根据工作需要做出的分月短期资金需求安排。</w:t>
      </w:r>
    </w:p>
    <w:p w14:paraId="28D56EF3">
      <w:pPr>
        <w:pStyle w:val="76"/>
        <w:spacing w:beforeLines="0" w:afterLines="0"/>
        <w:rPr>
          <w:rFonts w:ascii="仿宋_GB2312" w:eastAsia="仿宋_GB2312"/>
        </w:rPr>
      </w:pPr>
      <w:r>
        <w:rPr>
          <w:rFonts w:hint="eastAsia" w:ascii="仿宋_GB2312" w:eastAsia="仿宋_GB2312"/>
        </w:rPr>
        <w:t>4.2.2.1业务功能</w:t>
      </w:r>
    </w:p>
    <w:p w14:paraId="711A75D2">
      <w:pPr>
        <w:pStyle w:val="76"/>
        <w:spacing w:beforeLines="0" w:afterLines="0"/>
        <w:rPr>
          <w:rFonts w:ascii="仿宋_GB2312" w:eastAsia="仿宋_GB2312"/>
        </w:rPr>
      </w:pPr>
      <w:r>
        <w:rPr>
          <w:rFonts w:hint="eastAsia" w:ascii="仿宋_GB2312" w:eastAsia="仿宋_GB2312"/>
        </w:rPr>
        <w:t>结算中心代编用款计划：</w:t>
      </w:r>
    </w:p>
    <w:p w14:paraId="6DB1B25E">
      <w:pPr>
        <w:pStyle w:val="76"/>
        <w:spacing w:beforeLines="0" w:afterLines="0"/>
        <w:rPr>
          <w:rFonts w:ascii="仿宋_GB2312" w:eastAsia="仿宋_GB2312"/>
        </w:rPr>
      </w:pPr>
      <w:r>
        <w:rPr>
          <w:rFonts w:hint="eastAsia" w:ascii="仿宋_GB2312" w:eastAsia="仿宋_GB2312"/>
        </w:rPr>
        <w:t>结算中心专管员代单位编制用款计划，并提交国库科审批，预算单位只保留查询功能。</w:t>
      </w:r>
    </w:p>
    <w:p w14:paraId="47812FD0">
      <w:pPr>
        <w:pStyle w:val="76"/>
        <w:spacing w:beforeLines="0" w:afterLines="0"/>
        <w:rPr>
          <w:rFonts w:ascii="仿宋_GB2312" w:eastAsia="仿宋_GB2312"/>
        </w:rPr>
      </w:pPr>
      <w:r>
        <w:rPr>
          <w:rFonts w:hint="eastAsia" w:ascii="仿宋_GB2312" w:eastAsia="仿宋_GB2312"/>
        </w:rPr>
        <w:t>用款计划审核：</w:t>
      </w:r>
    </w:p>
    <w:p w14:paraId="578A063F">
      <w:pPr>
        <w:pStyle w:val="76"/>
        <w:spacing w:beforeLines="0" w:afterLines="0"/>
        <w:rPr>
          <w:rFonts w:ascii="仿宋_GB2312" w:eastAsia="仿宋_GB2312"/>
        </w:rPr>
      </w:pPr>
      <w:r>
        <w:rPr>
          <w:rFonts w:hint="eastAsia" w:ascii="仿宋_GB2312" w:eastAsia="仿宋_GB2312"/>
        </w:rPr>
        <w:t>对结算中心代编的用款计划，按财政定义的审批流程，逐级审核。</w:t>
      </w:r>
    </w:p>
    <w:p w14:paraId="35D62167">
      <w:pPr>
        <w:pStyle w:val="76"/>
        <w:spacing w:beforeLines="0" w:afterLines="0"/>
        <w:rPr>
          <w:rFonts w:ascii="仿宋_GB2312" w:eastAsia="仿宋_GB2312"/>
        </w:rPr>
      </w:pPr>
      <w:r>
        <w:rPr>
          <w:rFonts w:hint="eastAsia" w:ascii="仿宋_GB2312" w:eastAsia="仿宋_GB2312"/>
        </w:rPr>
        <w:t>日常公用经费计划批量生成：</w:t>
      </w:r>
    </w:p>
    <w:p w14:paraId="1B9EB4CD">
      <w:pPr>
        <w:pStyle w:val="76"/>
        <w:spacing w:beforeLines="0" w:afterLines="0"/>
        <w:rPr>
          <w:rFonts w:ascii="仿宋_GB2312" w:eastAsia="仿宋_GB2312"/>
        </w:rPr>
      </w:pPr>
      <w:r>
        <w:rPr>
          <w:rFonts w:hint="eastAsia" w:ascii="仿宋_GB2312" w:eastAsia="仿宋_GB2312"/>
        </w:rPr>
        <w:t>对各预算单位全年的日常公用经费指标，由结算中心按经济科目设置规则批量生成用款计划。结算中心可根据管理要求，按月或按季度一次性生成用款计划并批复给单位进行支付。</w:t>
      </w:r>
    </w:p>
    <w:p w14:paraId="2944AAB3">
      <w:pPr>
        <w:pStyle w:val="76"/>
        <w:spacing w:beforeLines="0" w:afterLines="0"/>
        <w:rPr>
          <w:rFonts w:ascii="仿宋_GB2312" w:eastAsia="仿宋_GB2312"/>
        </w:rPr>
      </w:pPr>
      <w:r>
        <w:rPr>
          <w:rFonts w:hint="eastAsia" w:ascii="仿宋_GB2312" w:eastAsia="仿宋_GB2312"/>
        </w:rPr>
        <w:t>用款计划汇总、下达：</w:t>
      </w:r>
    </w:p>
    <w:p w14:paraId="3EE50B56">
      <w:pPr>
        <w:pStyle w:val="76"/>
        <w:spacing w:beforeLines="0" w:afterLines="0"/>
        <w:rPr>
          <w:rFonts w:ascii="仿宋_GB2312" w:eastAsia="仿宋_GB2312"/>
        </w:rPr>
      </w:pPr>
      <w:r>
        <w:rPr>
          <w:rFonts w:hint="eastAsia" w:ascii="仿宋_GB2312" w:eastAsia="仿宋_GB2312"/>
        </w:rPr>
        <w:t>国库科按照相应的管理制度，每月在固定的时间对当月追加计划和下月计划进行汇总，汇总后将额度批复给预算单位，同时国库科将用款额度的电子信息发送给银行。电子信息主要包括：</w:t>
      </w:r>
    </w:p>
    <w:p w14:paraId="23B4B83D">
      <w:pPr>
        <w:pStyle w:val="76"/>
        <w:spacing w:beforeLines="0" w:afterLines="0"/>
        <w:rPr>
          <w:rFonts w:ascii="仿宋_GB2312" w:eastAsia="仿宋_GB2312"/>
        </w:rPr>
      </w:pPr>
      <w:r>
        <w:rPr>
          <w:rFonts w:hint="eastAsia" w:ascii="仿宋_GB2312" w:eastAsia="仿宋_GB2312"/>
        </w:rPr>
        <w:t>预算内直接支付额度送人民银行；</w:t>
      </w:r>
    </w:p>
    <w:p w14:paraId="7ABBE56B">
      <w:pPr>
        <w:pStyle w:val="76"/>
        <w:spacing w:beforeLines="0" w:afterLines="0"/>
        <w:rPr>
          <w:rFonts w:ascii="仿宋_GB2312" w:eastAsia="仿宋_GB2312"/>
        </w:rPr>
      </w:pPr>
      <w:r>
        <w:rPr>
          <w:rFonts w:hint="eastAsia" w:ascii="仿宋_GB2312" w:eastAsia="仿宋_GB2312"/>
        </w:rPr>
        <w:t>预算内授权支付额度分单位零余额所在开户行分别发送给不同的代理银行。</w:t>
      </w:r>
    </w:p>
    <w:p w14:paraId="09827BE0">
      <w:pPr>
        <w:pStyle w:val="76"/>
        <w:spacing w:beforeLines="0" w:afterLines="0"/>
        <w:rPr>
          <w:rFonts w:ascii="仿宋_GB2312" w:eastAsia="仿宋_GB2312"/>
        </w:rPr>
      </w:pPr>
      <w:r>
        <w:rPr>
          <w:rFonts w:hint="eastAsia" w:ascii="仿宋_GB2312" w:eastAsia="仿宋_GB2312"/>
        </w:rPr>
        <w:t>用款计划的调整：</w:t>
      </w:r>
    </w:p>
    <w:p w14:paraId="442802CD">
      <w:pPr>
        <w:pStyle w:val="76"/>
        <w:spacing w:beforeLines="0" w:afterLines="0"/>
        <w:rPr>
          <w:rFonts w:ascii="仿宋_GB2312" w:eastAsia="仿宋_GB2312"/>
        </w:rPr>
      </w:pPr>
      <w:r>
        <w:rPr>
          <w:rFonts w:hint="eastAsia" w:ascii="仿宋_GB2312" w:eastAsia="仿宋_GB2312"/>
        </w:rPr>
        <w:t>用款计划的调整主要分为两种类型：</w:t>
      </w:r>
    </w:p>
    <w:p w14:paraId="62F202E1">
      <w:pPr>
        <w:pStyle w:val="76"/>
        <w:spacing w:beforeLines="0" w:afterLines="0"/>
        <w:rPr>
          <w:rFonts w:ascii="仿宋_GB2312" w:eastAsia="仿宋_GB2312"/>
        </w:rPr>
      </w:pPr>
      <w:r>
        <w:rPr>
          <w:rFonts w:hint="eastAsia" w:ascii="仿宋_GB2312" w:eastAsia="仿宋_GB2312"/>
        </w:rPr>
        <w:t>计划追加：预算单位如果遇到当月将要支出数大于已批复额度数的情况，由结算中心追加计划，经财政部门审批后发送银行，形成新的用款额度。</w:t>
      </w:r>
    </w:p>
    <w:p w14:paraId="2649FD45">
      <w:pPr>
        <w:pStyle w:val="76"/>
        <w:spacing w:beforeLines="0" w:afterLines="0"/>
        <w:rPr>
          <w:rFonts w:ascii="仿宋_GB2312" w:eastAsia="仿宋_GB2312"/>
        </w:rPr>
      </w:pPr>
      <w:r>
        <w:rPr>
          <w:rFonts w:hint="eastAsia" w:ascii="仿宋_GB2312" w:eastAsia="仿宋_GB2312"/>
        </w:rPr>
        <w:t>计划冲抵：预算单位如果遇到实际支出比计划小的情况，由单位提出申请，结算中心代单位编制冲抵计划发送银行，减少用款额度，同时恢复单位可执行指标的结余数。</w:t>
      </w:r>
    </w:p>
    <w:p w14:paraId="53CB2A2C">
      <w:pPr>
        <w:pStyle w:val="76"/>
        <w:spacing w:beforeLines="0" w:afterLines="0"/>
        <w:rPr>
          <w:rFonts w:ascii="仿宋_GB2312" w:eastAsia="仿宋_GB2312"/>
        </w:rPr>
      </w:pPr>
      <w:r>
        <w:rPr>
          <w:rFonts w:hint="eastAsia" w:ascii="仿宋_GB2312" w:eastAsia="仿宋_GB2312"/>
        </w:rPr>
        <w:t>4.2.2.2查询统计</w:t>
      </w:r>
    </w:p>
    <w:p w14:paraId="2C77AF76">
      <w:pPr>
        <w:pStyle w:val="76"/>
        <w:spacing w:beforeLines="0" w:afterLines="0"/>
        <w:rPr>
          <w:rFonts w:ascii="仿宋_GB2312" w:eastAsia="仿宋_GB2312"/>
        </w:rPr>
      </w:pPr>
      <w:r>
        <w:rPr>
          <w:rFonts w:hint="eastAsia" w:ascii="仿宋_GB2312" w:eastAsia="仿宋_GB2312"/>
        </w:rPr>
        <w:t>可进行计划查询，按照月份、预算来源、功能科目、经济科目、项目名称、支付类型、状态反映计划金额、使用金额、结余金额。</w:t>
      </w:r>
    </w:p>
    <w:p w14:paraId="3431D8A6">
      <w:pPr>
        <w:pStyle w:val="76"/>
        <w:spacing w:beforeLines="0" w:afterLines="0"/>
        <w:rPr>
          <w:rFonts w:ascii="仿宋_GB2312" w:eastAsia="仿宋_GB2312"/>
        </w:rPr>
      </w:pPr>
      <w:r>
        <w:rPr>
          <w:rFonts w:hint="eastAsia" w:ascii="仿宋_GB2312" w:eastAsia="仿宋_GB2312"/>
        </w:rPr>
        <w:t>4.2.3支付管理</w:t>
      </w:r>
    </w:p>
    <w:p w14:paraId="628A21DA">
      <w:pPr>
        <w:pStyle w:val="76"/>
        <w:spacing w:beforeLines="0" w:afterLines="0"/>
        <w:rPr>
          <w:rFonts w:ascii="仿宋_GB2312" w:eastAsia="仿宋_GB2312"/>
        </w:rPr>
      </w:pPr>
      <w:r>
        <w:rPr>
          <w:rFonts w:hint="eastAsia" w:ascii="仿宋_GB2312" w:eastAsia="仿宋_GB2312"/>
        </w:rPr>
        <w:t>支付管理是对各类财政性资金支付环节业务处理和国库清算的一个总的描述，一般可以通过财政直接支付、单位授权支付、财政实拨等三种方式来实现资金的拨付。</w:t>
      </w:r>
    </w:p>
    <w:p w14:paraId="405FE01E">
      <w:pPr>
        <w:pStyle w:val="76"/>
        <w:spacing w:beforeLines="0" w:afterLines="0"/>
        <w:rPr>
          <w:rFonts w:ascii="仿宋_GB2312" w:eastAsia="仿宋_GB2312"/>
        </w:rPr>
      </w:pPr>
      <w:r>
        <w:rPr>
          <w:rFonts w:hint="eastAsia" w:ascii="仿宋_GB2312" w:eastAsia="仿宋_GB2312"/>
        </w:rPr>
        <w:t>4.2.3.1业务功能</w:t>
      </w:r>
    </w:p>
    <w:p w14:paraId="28E342D9">
      <w:pPr>
        <w:pStyle w:val="76"/>
        <w:spacing w:beforeLines="0" w:afterLines="0"/>
        <w:rPr>
          <w:rFonts w:ascii="仿宋_GB2312" w:eastAsia="仿宋_GB2312"/>
        </w:rPr>
      </w:pPr>
      <w:r>
        <w:rPr>
          <w:rFonts w:hint="eastAsia" w:ascii="仿宋_GB2312" w:eastAsia="仿宋_GB2312"/>
        </w:rPr>
        <w:t>财政直接支付：</w:t>
      </w:r>
    </w:p>
    <w:p w14:paraId="14F77944">
      <w:pPr>
        <w:pStyle w:val="76"/>
        <w:spacing w:beforeLines="0" w:afterLines="0"/>
        <w:rPr>
          <w:rFonts w:ascii="仿宋_GB2312" w:eastAsia="仿宋_GB2312"/>
        </w:rPr>
      </w:pPr>
      <w:r>
        <w:rPr>
          <w:rFonts w:hint="eastAsia" w:ascii="仿宋_GB2312" w:eastAsia="仿宋_GB2312"/>
        </w:rPr>
        <w:t>是财政在代理行设置财政零余额账户，然后通过该零余额账户直接将资金支付给供应商的一种支付方式。对于工资发放、政府采购支出、项目类支出、供应商明确的日常公用支出，可采用直接支付的方式。</w:t>
      </w:r>
    </w:p>
    <w:p w14:paraId="2A022322">
      <w:pPr>
        <w:pStyle w:val="76"/>
        <w:spacing w:beforeLines="0" w:afterLines="0"/>
        <w:rPr>
          <w:rFonts w:ascii="仿宋_GB2312" w:eastAsia="仿宋_GB2312"/>
        </w:rPr>
      </w:pPr>
      <w:r>
        <w:rPr>
          <w:rFonts w:hint="eastAsia" w:ascii="仿宋_GB2312" w:eastAsia="仿宋_GB2312"/>
        </w:rPr>
        <w:t>财政直接支付申请由结算中心代编，单位只保留查询功能，经过财政逐级审批以后，发送给人民银行进行支付。</w:t>
      </w:r>
    </w:p>
    <w:p w14:paraId="38E5A1AB">
      <w:pPr>
        <w:pStyle w:val="76"/>
        <w:spacing w:beforeLines="0" w:afterLines="0"/>
        <w:rPr>
          <w:rFonts w:ascii="仿宋_GB2312" w:eastAsia="仿宋_GB2312"/>
        </w:rPr>
      </w:pPr>
      <w:r>
        <w:rPr>
          <w:rFonts w:hint="eastAsia" w:ascii="仿宋_GB2312" w:eastAsia="仿宋_GB2312"/>
        </w:rPr>
        <w:t>单位授权支付：</w:t>
      </w:r>
    </w:p>
    <w:p w14:paraId="26B957D1">
      <w:pPr>
        <w:pStyle w:val="76"/>
        <w:spacing w:beforeLines="0" w:afterLines="0"/>
        <w:rPr>
          <w:rFonts w:ascii="仿宋_GB2312" w:eastAsia="仿宋_GB2312"/>
        </w:rPr>
      </w:pPr>
      <w:r>
        <w:rPr>
          <w:rFonts w:hint="eastAsia" w:ascii="仿宋_GB2312" w:eastAsia="仿宋_GB2312"/>
        </w:rPr>
        <w:t>是通过单位零余额账户支付给供应商的一种支付方式。授权支付是对直接支付处理的一个补充，对于提现、转账、汇票等业务，可采用授权支付的方式。</w:t>
      </w:r>
    </w:p>
    <w:p w14:paraId="5FFED10C">
      <w:pPr>
        <w:pStyle w:val="76"/>
        <w:spacing w:beforeLines="0" w:afterLines="0"/>
        <w:rPr>
          <w:rFonts w:ascii="仿宋_GB2312" w:eastAsia="仿宋_GB2312"/>
        </w:rPr>
      </w:pPr>
      <w:r>
        <w:rPr>
          <w:rFonts w:hint="eastAsia" w:ascii="仿宋_GB2312" w:eastAsia="仿宋_GB2312"/>
        </w:rPr>
        <w:t>财政授权支付申请由结算中心代编，单位只保留查询功能，经过财政逐级审批以后，发送给代理银行进行支付。</w:t>
      </w:r>
    </w:p>
    <w:p w14:paraId="01A80056">
      <w:pPr>
        <w:pStyle w:val="76"/>
        <w:spacing w:beforeLines="0" w:afterLines="0"/>
        <w:rPr>
          <w:rFonts w:ascii="仿宋_GB2312" w:eastAsia="仿宋_GB2312"/>
        </w:rPr>
      </w:pPr>
      <w:r>
        <w:rPr>
          <w:rFonts w:hint="eastAsia" w:ascii="仿宋_GB2312" w:eastAsia="仿宋_GB2312"/>
        </w:rPr>
        <w:t>财政实拨支付</w:t>
      </w:r>
    </w:p>
    <w:p w14:paraId="50F51070">
      <w:pPr>
        <w:pStyle w:val="76"/>
        <w:spacing w:beforeLines="0" w:afterLines="0"/>
        <w:rPr>
          <w:rFonts w:ascii="仿宋_GB2312" w:eastAsia="仿宋_GB2312"/>
        </w:rPr>
      </w:pPr>
      <w:r>
        <w:rPr>
          <w:rFonts w:hint="eastAsia" w:ascii="仿宋_GB2312" w:eastAsia="仿宋_GB2312"/>
        </w:rPr>
        <w:t>是用于对非国库集中支付单位和财政一次性拨款单位进行资金拨付的一种支付方式。如果是预算内的资金，根据财政提供的拨款票据从人民银行金库上直接付款。</w:t>
      </w:r>
    </w:p>
    <w:p w14:paraId="44CB7E9C">
      <w:pPr>
        <w:pStyle w:val="76"/>
        <w:spacing w:beforeLines="0" w:afterLines="0"/>
        <w:rPr>
          <w:rFonts w:ascii="仿宋_GB2312" w:eastAsia="仿宋_GB2312"/>
        </w:rPr>
      </w:pPr>
      <w:r>
        <w:rPr>
          <w:rFonts w:hint="eastAsia" w:ascii="仿宋_GB2312" w:eastAsia="仿宋_GB2312"/>
        </w:rPr>
        <w:t>4.2.3.2对接关系</w:t>
      </w:r>
    </w:p>
    <w:p w14:paraId="1C35D1D6">
      <w:pPr>
        <w:pStyle w:val="76"/>
        <w:spacing w:beforeLines="0" w:afterLines="0"/>
        <w:rPr>
          <w:rFonts w:ascii="仿宋_GB2312" w:eastAsia="仿宋_GB2312"/>
        </w:rPr>
      </w:pPr>
      <w:r>
        <w:rPr>
          <w:rFonts w:hint="eastAsia" w:ascii="仿宋_GB2312" w:eastAsia="仿宋_GB2312"/>
        </w:rPr>
        <w:t>（1）从工资统发系统中获取预算单位当月应发工资数据，自动扣减单位用款计划，生成工资统发用款申请。</w:t>
      </w:r>
    </w:p>
    <w:p w14:paraId="05813875">
      <w:pPr>
        <w:pStyle w:val="76"/>
        <w:spacing w:beforeLines="0" w:afterLines="0"/>
        <w:rPr>
          <w:rFonts w:ascii="仿宋_GB2312" w:eastAsia="仿宋_GB2312"/>
        </w:rPr>
      </w:pPr>
      <w:r>
        <w:rPr>
          <w:rFonts w:hint="eastAsia" w:ascii="仿宋_GB2312" w:eastAsia="仿宋_GB2312"/>
        </w:rPr>
        <w:t>（2）与人民银行，代理银行进行支付，清算，对账工作。</w:t>
      </w:r>
    </w:p>
    <w:p w14:paraId="35717C6E">
      <w:pPr>
        <w:pStyle w:val="76"/>
        <w:spacing w:beforeLines="0" w:afterLines="0"/>
        <w:rPr>
          <w:rFonts w:ascii="仿宋_GB2312" w:eastAsia="仿宋_GB2312"/>
        </w:rPr>
      </w:pPr>
      <w:r>
        <w:rPr>
          <w:rFonts w:hint="eastAsia" w:ascii="仿宋_GB2312" w:eastAsia="仿宋_GB2312"/>
        </w:rPr>
        <w:t>（3）财政对每天清算的数据进行核对确认后，系统自动传递凭证到总预算账和预算单位账，减轻财务记账的工作量并保证财务数据的准确性。</w:t>
      </w:r>
    </w:p>
    <w:p w14:paraId="41DD3703">
      <w:pPr>
        <w:pStyle w:val="76"/>
        <w:spacing w:beforeLines="0" w:afterLines="0"/>
        <w:rPr>
          <w:rFonts w:ascii="仿宋_GB2312" w:eastAsia="仿宋_GB2312"/>
        </w:rPr>
      </w:pPr>
      <w:r>
        <w:rPr>
          <w:rFonts w:hint="eastAsia" w:ascii="仿宋_GB2312" w:eastAsia="仿宋_GB2312"/>
        </w:rPr>
        <w:t>（4）从公务卡系统中获取预算单位公务卡使用数据，生成公务卡使用统计报表。</w:t>
      </w:r>
    </w:p>
    <w:p w14:paraId="37089E15">
      <w:pPr>
        <w:pStyle w:val="76"/>
        <w:spacing w:beforeLines="0" w:afterLines="0"/>
        <w:rPr>
          <w:rFonts w:ascii="仿宋_GB2312" w:eastAsia="仿宋_GB2312"/>
        </w:rPr>
      </w:pPr>
      <w:r>
        <w:rPr>
          <w:rFonts w:hint="eastAsia" w:ascii="仿宋_GB2312" w:eastAsia="仿宋_GB2312"/>
        </w:rPr>
        <w:t>4.2.3.3查询统计</w:t>
      </w:r>
    </w:p>
    <w:p w14:paraId="784E6717">
      <w:pPr>
        <w:pStyle w:val="76"/>
        <w:spacing w:beforeLines="0" w:afterLines="0"/>
        <w:rPr>
          <w:rFonts w:ascii="仿宋_GB2312" w:eastAsia="仿宋_GB2312"/>
        </w:rPr>
      </w:pPr>
      <w:r>
        <w:rPr>
          <w:rFonts w:hint="eastAsia" w:ascii="仿宋_GB2312" w:eastAsia="仿宋_GB2312"/>
        </w:rPr>
        <w:t>可根据需要进行用款申请书查询表、支出明细表、预算执行情况表、公务卡使用统计表等。</w:t>
      </w:r>
    </w:p>
    <w:p w14:paraId="587FB2EC">
      <w:pPr>
        <w:pStyle w:val="76"/>
        <w:spacing w:beforeLines="0" w:afterLines="0"/>
        <w:rPr>
          <w:rFonts w:ascii="仿宋_GB2312" w:eastAsia="仿宋_GB2312"/>
        </w:rPr>
      </w:pPr>
      <w:r>
        <w:rPr>
          <w:rFonts w:hint="eastAsia" w:ascii="仿宋_GB2312" w:eastAsia="仿宋_GB2312"/>
        </w:rPr>
        <w:t>4.2.4总账管理</w:t>
      </w:r>
    </w:p>
    <w:p w14:paraId="248E1565">
      <w:pPr>
        <w:pStyle w:val="76"/>
        <w:spacing w:beforeLines="0" w:afterLines="0"/>
        <w:rPr>
          <w:rFonts w:ascii="仿宋_GB2312" w:eastAsia="仿宋_GB2312"/>
        </w:rPr>
      </w:pPr>
      <w:r>
        <w:rPr>
          <w:rFonts w:hint="eastAsia" w:ascii="仿宋_GB2312" w:eastAsia="仿宋_GB2312"/>
        </w:rPr>
        <w:t xml:space="preserve">系统由财政各业务总会计承担具体工作，主要实现为: </w:t>
      </w:r>
    </w:p>
    <w:p w14:paraId="023D5122">
      <w:pPr>
        <w:pStyle w:val="76"/>
        <w:spacing w:beforeLines="0" w:afterLines="0"/>
        <w:rPr>
          <w:rFonts w:ascii="仿宋_GB2312" w:eastAsia="仿宋_GB2312"/>
        </w:rPr>
      </w:pPr>
      <w:r>
        <w:rPr>
          <w:rFonts w:hint="eastAsia" w:ascii="仿宋_GB2312" w:eastAsia="仿宋_GB2312"/>
        </w:rPr>
        <w:t>处理日常会计业务。</w:t>
      </w:r>
    </w:p>
    <w:p w14:paraId="23376EA5">
      <w:pPr>
        <w:pStyle w:val="76"/>
        <w:spacing w:beforeLines="0" w:afterLines="0"/>
        <w:rPr>
          <w:rFonts w:ascii="仿宋_GB2312" w:eastAsia="仿宋_GB2312"/>
        </w:rPr>
      </w:pPr>
      <w:r>
        <w:rPr>
          <w:rFonts w:hint="eastAsia" w:ascii="仿宋_GB2312" w:eastAsia="仿宋_GB2312"/>
        </w:rPr>
        <w:t>定期反映财政预算内外收支执行情况。按照规定的格式、内容和期限，实现编制财政部门和政府编报月份和季度会计报表。</w:t>
      </w:r>
    </w:p>
    <w:p w14:paraId="3D0E8B52">
      <w:pPr>
        <w:pStyle w:val="76"/>
        <w:spacing w:beforeLines="0" w:afterLines="0"/>
        <w:rPr>
          <w:rFonts w:ascii="仿宋_GB2312" w:eastAsia="仿宋_GB2312"/>
        </w:rPr>
      </w:pPr>
      <w:r>
        <w:rPr>
          <w:rFonts w:hint="eastAsia" w:ascii="仿宋_GB2312" w:eastAsia="仿宋_GB2312"/>
        </w:rPr>
        <w:t>妥善调度列入财政预算的资金，保证各项建设事业资金按计划及时供应，提高资金使用效益。</w:t>
      </w:r>
    </w:p>
    <w:p w14:paraId="17111165">
      <w:pPr>
        <w:pStyle w:val="76"/>
        <w:spacing w:beforeLines="0" w:afterLines="0"/>
        <w:rPr>
          <w:rFonts w:ascii="仿宋_GB2312" w:eastAsia="仿宋_GB2312"/>
        </w:rPr>
      </w:pPr>
      <w:r>
        <w:rPr>
          <w:rFonts w:hint="eastAsia" w:ascii="仿宋_GB2312" w:eastAsia="仿宋_GB2312"/>
        </w:rPr>
        <w:t>4.2.4.1对接关系</w:t>
      </w:r>
    </w:p>
    <w:p w14:paraId="7AAB59BD">
      <w:pPr>
        <w:pStyle w:val="76"/>
        <w:spacing w:beforeLines="0" w:afterLines="0"/>
        <w:rPr>
          <w:rFonts w:ascii="仿宋_GB2312" w:eastAsia="仿宋_GB2312"/>
        </w:rPr>
      </w:pPr>
      <w:r>
        <w:rPr>
          <w:rFonts w:hint="eastAsia" w:ascii="仿宋_GB2312" w:eastAsia="仿宋_GB2312"/>
        </w:rPr>
        <w:t>总预算会计核算从支付系统中直接读取单位收入、支付数据，自动生成原始凭证。</w:t>
      </w:r>
    </w:p>
    <w:p w14:paraId="40DEB8E8">
      <w:pPr>
        <w:pStyle w:val="76"/>
        <w:spacing w:beforeLines="0" w:afterLines="0"/>
        <w:rPr>
          <w:rFonts w:ascii="仿宋_GB2312" w:eastAsia="仿宋_GB2312"/>
        </w:rPr>
      </w:pPr>
      <w:r>
        <w:rPr>
          <w:rFonts w:hint="eastAsia" w:ascii="仿宋_GB2312" w:eastAsia="仿宋_GB2312"/>
        </w:rPr>
        <w:t>4.2.4.2查询统计</w:t>
      </w:r>
    </w:p>
    <w:p w14:paraId="59CD744C">
      <w:pPr>
        <w:pStyle w:val="76"/>
        <w:spacing w:beforeLines="0" w:afterLines="0"/>
        <w:rPr>
          <w:rFonts w:ascii="仿宋_GB2312" w:eastAsia="仿宋_GB2312"/>
        </w:rPr>
      </w:pPr>
      <w:r>
        <w:rPr>
          <w:rFonts w:hint="eastAsia" w:ascii="仿宋_GB2312" w:eastAsia="仿宋_GB2312"/>
        </w:rPr>
        <w:t>会计账薄</w:t>
      </w:r>
    </w:p>
    <w:p w14:paraId="68F2F634">
      <w:pPr>
        <w:pStyle w:val="76"/>
        <w:spacing w:beforeLines="0" w:afterLines="0"/>
        <w:rPr>
          <w:rFonts w:ascii="仿宋_GB2312" w:eastAsia="仿宋_GB2312"/>
        </w:rPr>
      </w:pPr>
      <w:r>
        <w:rPr>
          <w:rFonts w:hint="eastAsia" w:ascii="仿宋_GB2312" w:eastAsia="仿宋_GB2312"/>
        </w:rPr>
        <w:t>对固定格式的报表如：总分类账、明细账、多栏账等进行查询、打印、导出等处理。</w:t>
      </w:r>
    </w:p>
    <w:p w14:paraId="76F6ECEF">
      <w:pPr>
        <w:pStyle w:val="76"/>
        <w:spacing w:beforeLines="0" w:afterLines="0"/>
        <w:rPr>
          <w:rFonts w:ascii="仿宋_GB2312" w:eastAsia="仿宋_GB2312"/>
        </w:rPr>
      </w:pPr>
      <w:r>
        <w:rPr>
          <w:rFonts w:hint="eastAsia" w:ascii="仿宋_GB2312" w:eastAsia="仿宋_GB2312"/>
        </w:rPr>
        <w:t>会计报表</w:t>
      </w:r>
    </w:p>
    <w:p w14:paraId="37E5D76A">
      <w:pPr>
        <w:pStyle w:val="76"/>
        <w:spacing w:beforeLines="0" w:afterLines="0"/>
        <w:rPr>
          <w:rFonts w:ascii="仿宋_GB2312" w:eastAsia="仿宋_GB2312"/>
        </w:rPr>
      </w:pPr>
      <w:r>
        <w:rPr>
          <w:rFonts w:hint="eastAsia" w:ascii="仿宋_GB2312" w:eastAsia="仿宋_GB2312"/>
        </w:rPr>
        <w:t>对资产负债表、收支汇总表等自定义报表进行设置、查询和打印。</w:t>
      </w:r>
    </w:p>
    <w:p w14:paraId="64D3CBB8">
      <w:pPr>
        <w:pStyle w:val="76"/>
        <w:spacing w:beforeLines="0" w:afterLines="0"/>
        <w:rPr>
          <w:rFonts w:ascii="仿宋_GB2312" w:eastAsia="仿宋_GB2312"/>
        </w:rPr>
      </w:pPr>
      <w:r>
        <w:rPr>
          <w:rFonts w:hint="eastAsia" w:ascii="仿宋_GB2312" w:eastAsia="仿宋_GB2312"/>
        </w:rPr>
        <w:t>对财政账务系统中的所有资金账的报表进行组合、合并；自定义组合报表的数据来源、报表格式等，并生成新的报表来查询和打印。</w:t>
      </w:r>
    </w:p>
    <w:p w14:paraId="374AA48F">
      <w:pPr>
        <w:spacing w:line="360" w:lineRule="auto"/>
        <w:ind w:left="420"/>
        <w:outlineLvl w:val="3"/>
        <w:rPr>
          <w:rFonts w:ascii="仿宋_GB2312" w:hAnsi="宋体" w:eastAsia="仿宋_GB2312" w:cs="宋体"/>
          <w:kern w:val="0"/>
          <w:sz w:val="24"/>
        </w:rPr>
      </w:pPr>
      <w:r>
        <w:rPr>
          <w:rFonts w:hint="eastAsia" w:ascii="仿宋_GB2312" w:hAnsi="宋体" w:eastAsia="仿宋_GB2312" w:cs="宋体"/>
          <w:kern w:val="0"/>
          <w:sz w:val="24"/>
        </w:rPr>
        <w:t>4.2.5出纳管理系统</w:t>
      </w:r>
    </w:p>
    <w:p w14:paraId="0FA82BB5">
      <w:pPr>
        <w:pStyle w:val="76"/>
        <w:numPr>
          <w:ilvl w:val="0"/>
          <w:numId w:val="4"/>
        </w:numPr>
        <w:spacing w:beforeLines="0" w:afterLines="0"/>
        <w:ind w:firstLineChars="0"/>
        <w:rPr>
          <w:rFonts w:ascii="仿宋_GB2312" w:eastAsia="仿宋_GB2312"/>
        </w:rPr>
      </w:pPr>
      <w:r>
        <w:rPr>
          <w:rFonts w:hint="eastAsia" w:ascii="仿宋_GB2312" w:eastAsia="仿宋_GB2312"/>
        </w:rPr>
        <w:t>完成日常的货币资金管理及收付工作,适应各类出纳核算管理的需要。</w:t>
      </w:r>
    </w:p>
    <w:p w14:paraId="147972B1">
      <w:pPr>
        <w:pStyle w:val="76"/>
        <w:numPr>
          <w:ilvl w:val="0"/>
          <w:numId w:val="4"/>
        </w:numPr>
        <w:spacing w:beforeLines="0" w:afterLines="0"/>
        <w:ind w:firstLineChars="0"/>
        <w:rPr>
          <w:rFonts w:ascii="仿宋_GB2312" w:eastAsia="仿宋_GB2312"/>
        </w:rPr>
      </w:pPr>
      <w:r>
        <w:rPr>
          <w:rFonts w:hint="eastAsia" w:ascii="仿宋_GB2312" w:eastAsia="仿宋_GB2312"/>
        </w:rPr>
        <w:t>与账务处理系统无缝连接，实现数据高度共享。可直接共享科目代码、部门代码、项目代码、往来代码、初始科目数据、期初银行未达账等公共基础数据。</w:t>
      </w:r>
    </w:p>
    <w:p w14:paraId="6496EDF1">
      <w:pPr>
        <w:pStyle w:val="76"/>
        <w:numPr>
          <w:ilvl w:val="0"/>
          <w:numId w:val="4"/>
        </w:numPr>
        <w:spacing w:beforeLines="0" w:afterLines="0"/>
        <w:ind w:firstLineChars="0"/>
        <w:rPr>
          <w:rFonts w:ascii="仿宋_GB2312" w:eastAsia="仿宋_GB2312"/>
        </w:rPr>
      </w:pPr>
      <w:r>
        <w:rPr>
          <w:rFonts w:hint="eastAsia" w:ascii="仿宋_GB2312" w:eastAsia="仿宋_GB2312"/>
        </w:rPr>
        <w:t>全面、丰富的账表提供完整的业务处理和财务管理信息系统.提供的部门、项目、往来单位等不同口径的现金收支统计表、银行收支统计表、现金收付款一览表、银行收付款一览表、明细账等多种报表，多角度、全方位地反映资金的来源与使用情况。</w:t>
      </w:r>
    </w:p>
    <w:p w14:paraId="2509D642">
      <w:pPr>
        <w:pStyle w:val="76"/>
        <w:numPr>
          <w:ilvl w:val="0"/>
          <w:numId w:val="4"/>
        </w:numPr>
        <w:spacing w:beforeLines="0" w:afterLines="0"/>
        <w:ind w:firstLineChars="0"/>
        <w:rPr>
          <w:rFonts w:ascii="仿宋_GB2312" w:eastAsia="仿宋_GB2312"/>
        </w:rPr>
      </w:pPr>
      <w:r>
        <w:rPr>
          <w:rFonts w:hint="eastAsia" w:ascii="仿宋_GB2312" w:eastAsia="仿宋_GB2312"/>
        </w:rPr>
        <w:t>系统可以实现银行数据与单位数据之间的对账、勾对。通过自动和手动两种方式进行对账，并产生银行对账的余额调节表，形成相应的未达、已达账项。</w:t>
      </w:r>
    </w:p>
    <w:p w14:paraId="09387BE3">
      <w:pPr>
        <w:pStyle w:val="76"/>
        <w:spacing w:beforeLines="0" w:afterLines="0"/>
        <w:rPr>
          <w:rFonts w:ascii="仿宋_GB2312" w:eastAsia="仿宋_GB2312"/>
        </w:rPr>
      </w:pPr>
      <w:bookmarkStart w:id="9" w:name="_Toc2206"/>
      <w:r>
        <w:rPr>
          <w:rFonts w:hint="eastAsia" w:ascii="仿宋_GB2312" w:eastAsia="仿宋_GB2312"/>
        </w:rPr>
        <w:t>4.3非税管理</w:t>
      </w:r>
      <w:bookmarkEnd w:id="9"/>
    </w:p>
    <w:p w14:paraId="1834FE19">
      <w:pPr>
        <w:pStyle w:val="76"/>
        <w:spacing w:beforeLines="0" w:afterLines="0"/>
        <w:rPr>
          <w:rFonts w:ascii="仿宋_GB2312" w:eastAsia="仿宋_GB2312"/>
        </w:rPr>
      </w:pPr>
      <w:r>
        <w:rPr>
          <w:rFonts w:hint="eastAsia" w:ascii="仿宋_GB2312" w:eastAsia="仿宋_GB2312"/>
        </w:rPr>
        <w:t>4.3.1非税收入管理</w:t>
      </w:r>
    </w:p>
    <w:p w14:paraId="46D6D799">
      <w:pPr>
        <w:pStyle w:val="76"/>
        <w:spacing w:beforeLines="0" w:afterLines="0"/>
        <w:rPr>
          <w:rFonts w:ascii="仿宋_GB2312" w:eastAsia="仿宋_GB2312"/>
        </w:rPr>
      </w:pPr>
      <w:r>
        <w:rPr>
          <w:rFonts w:hint="eastAsia" w:ascii="仿宋_GB2312" w:eastAsia="仿宋_GB2312"/>
        </w:rPr>
        <w:t>根据《财政国库管理制度改革方案》的总体要求和《非税资金收入收缴管理制度改革方案》的有关规定，非税收入收缴管理实行“单位开票，银行代收，财政统管”的管理方式，在统一工作流程、统一数据库、统一操作平台的基础上，通过财政外围信息交换平台，实现非税管理信息的网上开票、传输、核对等工作。</w:t>
      </w:r>
    </w:p>
    <w:p w14:paraId="11175054">
      <w:pPr>
        <w:pStyle w:val="76"/>
        <w:spacing w:beforeLines="0" w:afterLines="0"/>
        <w:rPr>
          <w:rFonts w:ascii="仿宋_GB2312" w:eastAsia="仿宋_GB2312"/>
        </w:rPr>
      </w:pPr>
      <w:r>
        <w:rPr>
          <w:rFonts w:hint="eastAsia" w:ascii="仿宋_GB2312" w:eastAsia="仿宋_GB2312"/>
        </w:rPr>
        <w:t>基础信息：</w:t>
      </w:r>
    </w:p>
    <w:p w14:paraId="3A89E144">
      <w:pPr>
        <w:pStyle w:val="76"/>
        <w:spacing w:beforeLines="0" w:afterLines="0"/>
        <w:rPr>
          <w:rFonts w:ascii="仿宋_GB2312" w:eastAsia="仿宋_GB2312"/>
        </w:rPr>
      </w:pPr>
      <w:r>
        <w:rPr>
          <w:rFonts w:hint="eastAsia" w:ascii="仿宋_GB2312" w:eastAsia="仿宋_GB2312"/>
        </w:rPr>
        <w:t>基础信息包括执收单位基本信息、执收项目信息、账户信息及财政部门专户等相关信息</w:t>
      </w:r>
    </w:p>
    <w:p w14:paraId="4D6F9228">
      <w:pPr>
        <w:pStyle w:val="76"/>
        <w:spacing w:beforeLines="0" w:afterLines="0"/>
        <w:rPr>
          <w:rFonts w:ascii="仿宋_GB2312" w:eastAsia="仿宋_GB2312"/>
        </w:rPr>
      </w:pPr>
      <w:r>
        <w:rPr>
          <w:rFonts w:hint="eastAsia" w:ascii="仿宋_GB2312" w:eastAsia="仿宋_GB2312"/>
        </w:rPr>
        <w:t>单位资金收缴：</w:t>
      </w:r>
    </w:p>
    <w:p w14:paraId="71D04A4B">
      <w:pPr>
        <w:pStyle w:val="76"/>
        <w:spacing w:beforeLines="0" w:afterLines="0"/>
        <w:rPr>
          <w:rFonts w:ascii="仿宋_GB2312" w:eastAsia="仿宋_GB2312"/>
        </w:rPr>
      </w:pPr>
      <w:r>
        <w:rPr>
          <w:rFonts w:hint="eastAsia" w:ascii="仿宋_GB2312" w:eastAsia="仿宋_GB2312"/>
        </w:rPr>
        <w:t>执收单位业务模式组成：直接解缴，集中汇缴模式；执收单位开票方式管理；单位票据管理；单位用户维护；报表查询；缴款处理；银行数据交换。</w:t>
      </w:r>
    </w:p>
    <w:p w14:paraId="19B736FF">
      <w:pPr>
        <w:pStyle w:val="76"/>
        <w:spacing w:beforeLines="0" w:afterLines="0"/>
        <w:rPr>
          <w:rFonts w:ascii="仿宋_GB2312" w:eastAsia="仿宋_GB2312"/>
        </w:rPr>
      </w:pPr>
      <w:r>
        <w:rPr>
          <w:rFonts w:hint="eastAsia" w:ascii="仿宋_GB2312" w:eastAsia="仿宋_GB2312"/>
        </w:rPr>
        <w:t>财政收入资金管理：</w:t>
      </w:r>
    </w:p>
    <w:p w14:paraId="79D4C777">
      <w:pPr>
        <w:pStyle w:val="76"/>
        <w:spacing w:beforeLines="0" w:afterLines="0"/>
        <w:rPr>
          <w:rFonts w:ascii="仿宋_GB2312" w:eastAsia="仿宋_GB2312"/>
        </w:rPr>
      </w:pPr>
      <w:r>
        <w:rPr>
          <w:rFonts w:hint="eastAsia" w:ascii="仿宋_GB2312" w:eastAsia="仿宋_GB2312"/>
        </w:rPr>
        <w:t>收入管理是本系统的核心内容，完成银行收款数据的接入和审核，实现自动对账，进行收入退付和收入调整业务的处理，实现分成（统筹）业务的管理，实现非税不明款处理流程，并生成各种报表以供相关部门使用。</w:t>
      </w:r>
    </w:p>
    <w:p w14:paraId="707227C4">
      <w:pPr>
        <w:pStyle w:val="76"/>
        <w:spacing w:beforeLines="0" w:afterLines="0"/>
        <w:rPr>
          <w:rFonts w:ascii="仿宋_GB2312" w:eastAsia="仿宋_GB2312"/>
        </w:rPr>
      </w:pPr>
      <w:r>
        <w:rPr>
          <w:rFonts w:hint="eastAsia" w:ascii="仿宋_GB2312" w:eastAsia="仿宋_GB2312"/>
        </w:rPr>
        <w:t>4.3.2非税票据管理</w:t>
      </w:r>
    </w:p>
    <w:p w14:paraId="6022C3AC">
      <w:pPr>
        <w:pStyle w:val="76"/>
        <w:spacing w:beforeLines="0" w:afterLines="0"/>
        <w:rPr>
          <w:rFonts w:ascii="仿宋_GB2312" w:eastAsia="仿宋_GB2312"/>
        </w:rPr>
      </w:pPr>
      <w:r>
        <w:rPr>
          <w:rFonts w:hint="eastAsia" w:ascii="仿宋_GB2312" w:eastAsia="仿宋_GB2312"/>
        </w:rPr>
        <w:t>实现对票据计划、印刷、入库、转库、领用、缴销、销毁业务功能细化、加强单位购领票据的控制、完善票据统计报表，使系统符合财政在新</w:t>
      </w:r>
      <w:r>
        <w:rPr>
          <w:rFonts w:hint="eastAsia" w:ascii="仿宋_GB2312" w:eastAsia="仿宋_GB2312"/>
          <w:lang w:val="en-US" w:eastAsia="zh-CN"/>
        </w:rPr>
        <w:t>形势</w:t>
      </w:r>
      <w:bookmarkStart w:id="53" w:name="_GoBack"/>
      <w:bookmarkEnd w:id="53"/>
      <w:r>
        <w:rPr>
          <w:rFonts w:hint="eastAsia" w:ascii="仿宋_GB2312" w:eastAsia="仿宋_GB2312"/>
        </w:rPr>
        <w:t>下的票据管理和决策的需要，体现对票据管理全流程的可跟踪、可追溯。</w:t>
      </w:r>
    </w:p>
    <w:p w14:paraId="44EF771E">
      <w:pPr>
        <w:pStyle w:val="76"/>
        <w:spacing w:beforeLines="0" w:afterLines="0"/>
        <w:rPr>
          <w:rFonts w:ascii="仿宋_GB2312" w:eastAsia="仿宋_GB2312"/>
        </w:rPr>
      </w:pPr>
      <w:r>
        <w:rPr>
          <w:rFonts w:hint="eastAsia" w:ascii="仿宋_GB2312" w:eastAsia="仿宋_GB2312"/>
        </w:rPr>
        <w:t xml:space="preserve">票据基础信息： </w:t>
      </w:r>
    </w:p>
    <w:p w14:paraId="5D712DBA">
      <w:pPr>
        <w:pStyle w:val="76"/>
        <w:spacing w:beforeLines="0" w:afterLines="0"/>
        <w:rPr>
          <w:rFonts w:ascii="仿宋_GB2312" w:eastAsia="仿宋_GB2312"/>
        </w:rPr>
      </w:pPr>
      <w:r>
        <w:rPr>
          <w:rFonts w:hint="eastAsia" w:ascii="仿宋_GB2312" w:eastAsia="仿宋_GB2312"/>
        </w:rPr>
        <w:t>票据基础信息包括票据类别、票据仓库、票据信息三类组成。</w:t>
      </w:r>
    </w:p>
    <w:p w14:paraId="5017318F">
      <w:pPr>
        <w:pStyle w:val="76"/>
        <w:spacing w:beforeLines="0" w:afterLines="0"/>
        <w:rPr>
          <w:rFonts w:ascii="仿宋_GB2312" w:eastAsia="仿宋_GB2312"/>
        </w:rPr>
      </w:pPr>
      <w:r>
        <w:rPr>
          <w:rFonts w:hint="eastAsia" w:ascii="仿宋_GB2312" w:eastAsia="仿宋_GB2312"/>
        </w:rPr>
        <w:t>票据计划：</w:t>
      </w:r>
    </w:p>
    <w:p w14:paraId="3B706917">
      <w:pPr>
        <w:pStyle w:val="76"/>
        <w:spacing w:beforeLines="0" w:afterLines="0"/>
        <w:rPr>
          <w:rFonts w:ascii="仿宋_GB2312" w:eastAsia="仿宋_GB2312"/>
        </w:rPr>
      </w:pPr>
      <w:r>
        <w:rPr>
          <w:rFonts w:hint="eastAsia" w:ascii="仿宋_GB2312" w:eastAsia="仿宋_GB2312"/>
        </w:rPr>
        <w:t>财政相关部门对本级印制的票据要制定印制计划，同时向印刷厂下达印制合同，印制厂根据计划印制票据。</w:t>
      </w:r>
    </w:p>
    <w:p w14:paraId="1FF859C1">
      <w:pPr>
        <w:pStyle w:val="76"/>
        <w:spacing w:beforeLines="0" w:afterLines="0"/>
        <w:rPr>
          <w:rFonts w:ascii="仿宋_GB2312" w:eastAsia="仿宋_GB2312"/>
        </w:rPr>
      </w:pPr>
      <w:r>
        <w:rPr>
          <w:rFonts w:hint="eastAsia" w:ascii="仿宋_GB2312" w:eastAsia="仿宋_GB2312"/>
        </w:rPr>
        <w:t>票据印刷：</w:t>
      </w:r>
    </w:p>
    <w:p w14:paraId="44EE8214">
      <w:pPr>
        <w:pStyle w:val="76"/>
        <w:spacing w:beforeLines="0" w:afterLines="0"/>
        <w:rPr>
          <w:rFonts w:ascii="仿宋_GB2312" w:eastAsia="仿宋_GB2312"/>
        </w:rPr>
      </w:pPr>
      <w:r>
        <w:rPr>
          <w:rFonts w:hint="eastAsia" w:ascii="仿宋_GB2312" w:eastAsia="仿宋_GB2312"/>
        </w:rPr>
        <w:t>按票据计划分批进行票据印刷工作管理。</w:t>
      </w:r>
    </w:p>
    <w:p w14:paraId="742C384B">
      <w:pPr>
        <w:pStyle w:val="76"/>
        <w:spacing w:beforeLines="0" w:afterLines="0"/>
        <w:rPr>
          <w:rFonts w:ascii="仿宋_GB2312" w:eastAsia="仿宋_GB2312"/>
        </w:rPr>
      </w:pPr>
      <w:r>
        <w:rPr>
          <w:rFonts w:hint="eastAsia" w:ascii="仿宋_GB2312" w:eastAsia="仿宋_GB2312"/>
        </w:rPr>
        <w:t>票据入库：</w:t>
      </w:r>
    </w:p>
    <w:p w14:paraId="0EDAE856">
      <w:pPr>
        <w:pStyle w:val="76"/>
        <w:spacing w:beforeLines="0" w:afterLines="0"/>
        <w:rPr>
          <w:rFonts w:ascii="仿宋_GB2312" w:eastAsia="仿宋_GB2312"/>
        </w:rPr>
      </w:pPr>
      <w:r>
        <w:rPr>
          <w:rFonts w:hint="eastAsia" w:ascii="仿宋_GB2312" w:eastAsia="仿宋_GB2312"/>
        </w:rPr>
        <w:t>票据的入库分为两种，计划入库和领用入库。</w:t>
      </w:r>
    </w:p>
    <w:p w14:paraId="2AC82C7B">
      <w:pPr>
        <w:pStyle w:val="76"/>
        <w:spacing w:beforeLines="0" w:afterLines="0"/>
        <w:rPr>
          <w:rFonts w:ascii="仿宋_GB2312" w:eastAsia="仿宋_GB2312"/>
        </w:rPr>
      </w:pPr>
      <w:r>
        <w:rPr>
          <w:rFonts w:hint="eastAsia" w:ascii="仿宋_GB2312" w:eastAsia="仿宋_GB2312"/>
        </w:rPr>
        <w:t>票据转库：</w:t>
      </w:r>
    </w:p>
    <w:p w14:paraId="401CD55C">
      <w:pPr>
        <w:pStyle w:val="76"/>
        <w:spacing w:beforeLines="0" w:afterLines="0"/>
        <w:rPr>
          <w:rFonts w:ascii="仿宋_GB2312" w:eastAsia="仿宋_GB2312"/>
        </w:rPr>
      </w:pPr>
      <w:r>
        <w:rPr>
          <w:rFonts w:hint="eastAsia" w:ascii="仿宋_GB2312" w:eastAsia="仿宋_GB2312"/>
        </w:rPr>
        <w:t>票据转库处理，实现票据从印刷厂仓库转到财政仓库的管理。</w:t>
      </w:r>
    </w:p>
    <w:p w14:paraId="3FEE5F55">
      <w:pPr>
        <w:pStyle w:val="76"/>
        <w:spacing w:beforeLines="0" w:afterLines="0"/>
        <w:rPr>
          <w:rFonts w:ascii="仿宋_GB2312" w:eastAsia="仿宋_GB2312"/>
        </w:rPr>
      </w:pPr>
      <w:r>
        <w:rPr>
          <w:rFonts w:hint="eastAsia" w:ascii="仿宋_GB2312" w:eastAsia="仿宋_GB2312"/>
        </w:rPr>
        <w:t>票据领用：</w:t>
      </w:r>
    </w:p>
    <w:p w14:paraId="42B4DEF4">
      <w:pPr>
        <w:pStyle w:val="76"/>
        <w:spacing w:beforeLines="0" w:afterLines="0"/>
        <w:rPr>
          <w:rFonts w:ascii="仿宋_GB2312" w:eastAsia="仿宋_GB2312"/>
        </w:rPr>
      </w:pPr>
      <w:r>
        <w:rPr>
          <w:rFonts w:hint="eastAsia" w:ascii="仿宋_GB2312" w:eastAsia="仿宋_GB2312"/>
        </w:rPr>
        <w:t>票据的领用主要发放给本级财政的用票单位和下级财政，即单位领购和财政领购。</w:t>
      </w:r>
    </w:p>
    <w:p w14:paraId="4EAE078D">
      <w:pPr>
        <w:pStyle w:val="76"/>
        <w:spacing w:beforeLines="0" w:afterLines="0"/>
        <w:rPr>
          <w:rFonts w:ascii="仿宋_GB2312" w:eastAsia="仿宋_GB2312"/>
        </w:rPr>
      </w:pPr>
      <w:r>
        <w:rPr>
          <w:rFonts w:hint="eastAsia" w:ascii="仿宋_GB2312" w:eastAsia="仿宋_GB2312"/>
        </w:rPr>
        <w:t>票据缴销：</w:t>
      </w:r>
    </w:p>
    <w:p w14:paraId="51F3AEF0">
      <w:pPr>
        <w:pStyle w:val="76"/>
        <w:spacing w:beforeLines="0" w:afterLines="0"/>
        <w:rPr>
          <w:rFonts w:ascii="仿宋_GB2312" w:eastAsia="仿宋_GB2312"/>
        </w:rPr>
      </w:pPr>
      <w:r>
        <w:rPr>
          <w:rFonts w:hint="eastAsia" w:ascii="仿宋_GB2312" w:eastAsia="仿宋_GB2312"/>
        </w:rPr>
        <w:t>对于非税收入一般缴款书，核销时系统能够根据收入系统里的数据自动记录票据的使用、作废情况从而产生缴销记录。票据管理系统与非税收入系统无缝衔接，实现已复审的非税收入一般缴款通知书自动核销；汇总通知书对应的一般缴款通知数自动核销；专用票据集中汇缴后核销等功能，减轻核销票据的工作量。</w:t>
      </w:r>
    </w:p>
    <w:p w14:paraId="15DBFFF2">
      <w:pPr>
        <w:pStyle w:val="76"/>
        <w:spacing w:beforeLines="0" w:afterLines="0"/>
        <w:rPr>
          <w:rFonts w:ascii="仿宋_GB2312" w:eastAsia="仿宋_GB2312"/>
        </w:rPr>
      </w:pPr>
      <w:r>
        <w:rPr>
          <w:rFonts w:hint="eastAsia" w:ascii="仿宋_GB2312" w:eastAsia="仿宋_GB2312"/>
        </w:rPr>
        <w:t>票据销毁</w:t>
      </w:r>
    </w:p>
    <w:p w14:paraId="538B959F">
      <w:pPr>
        <w:pStyle w:val="76"/>
        <w:spacing w:beforeLines="0" w:afterLines="0"/>
        <w:rPr>
          <w:rFonts w:ascii="仿宋_GB2312" w:eastAsia="仿宋_GB2312"/>
        </w:rPr>
      </w:pPr>
      <w:r>
        <w:rPr>
          <w:rFonts w:hint="eastAsia" w:ascii="仿宋_GB2312" w:eastAsia="仿宋_GB2312"/>
        </w:rPr>
        <w:t>对缴销票据按照财政流程进行销毁处理</w:t>
      </w:r>
    </w:p>
    <w:p w14:paraId="7BFEDA47">
      <w:pPr>
        <w:pStyle w:val="76"/>
        <w:spacing w:beforeLines="0" w:afterLines="0"/>
        <w:rPr>
          <w:rFonts w:ascii="仿宋_GB2312" w:eastAsia="仿宋_GB2312"/>
        </w:rPr>
      </w:pPr>
      <w:r>
        <w:rPr>
          <w:rFonts w:hint="eastAsia" w:ascii="仿宋_GB2312" w:eastAsia="仿宋_GB2312"/>
        </w:rPr>
        <w:t>票据报表综合查询分析</w:t>
      </w:r>
    </w:p>
    <w:p w14:paraId="0F1B5C39">
      <w:pPr>
        <w:pStyle w:val="76"/>
        <w:spacing w:beforeLines="0" w:afterLines="0"/>
        <w:rPr>
          <w:rFonts w:ascii="仿宋_GB2312" w:eastAsia="仿宋_GB2312"/>
        </w:rPr>
      </w:pPr>
      <w:r>
        <w:rPr>
          <w:rFonts w:hint="eastAsia" w:ascii="仿宋_GB2312" w:eastAsia="仿宋_GB2312"/>
        </w:rPr>
        <w:t>4.4工资统发管理</w:t>
      </w:r>
    </w:p>
    <w:p w14:paraId="5FF12E0F">
      <w:pPr>
        <w:pStyle w:val="76"/>
        <w:spacing w:beforeLines="0" w:afterLines="0"/>
        <w:rPr>
          <w:rFonts w:ascii="仿宋_GB2312" w:eastAsia="仿宋_GB2312"/>
        </w:rPr>
      </w:pPr>
      <w:r>
        <w:rPr>
          <w:rFonts w:hint="eastAsia" w:ascii="仿宋_GB2312" w:eastAsia="仿宋_GB2312"/>
        </w:rPr>
        <w:t>实现财政性资金安排的工资资金由财政部门委托代发工资银行直接拨付到个人工资账户上的管理方式。工资统发实行“编制部门核准编制、人事部门核定人员和工资、财政核拨经费、银行代发到人、及时足额到位”的管理原则。</w:t>
      </w:r>
    </w:p>
    <w:p w14:paraId="3BD17ABA">
      <w:pPr>
        <w:pStyle w:val="76"/>
        <w:spacing w:beforeLines="0" w:afterLines="0"/>
        <w:rPr>
          <w:rFonts w:ascii="仿宋_GB2312" w:eastAsia="仿宋_GB2312"/>
        </w:rPr>
      </w:pPr>
      <w:r>
        <w:rPr>
          <w:rFonts w:hint="eastAsia" w:ascii="仿宋_GB2312" w:eastAsia="仿宋_GB2312"/>
        </w:rPr>
        <w:t>财政工资发放主要管理财政供养人员信息与工资数据，并与用款计划管理紧密结合，实现：</w:t>
      </w:r>
    </w:p>
    <w:p w14:paraId="07D10FC3">
      <w:pPr>
        <w:pStyle w:val="76"/>
        <w:numPr>
          <w:ilvl w:val="0"/>
          <w:numId w:val="4"/>
        </w:numPr>
        <w:spacing w:beforeLines="0" w:afterLines="0"/>
        <w:ind w:firstLineChars="0"/>
        <w:rPr>
          <w:rFonts w:ascii="仿宋_GB2312" w:eastAsia="仿宋_GB2312"/>
        </w:rPr>
      </w:pPr>
      <w:r>
        <w:rPr>
          <w:rFonts w:hint="eastAsia" w:ascii="仿宋_GB2312" w:eastAsia="仿宋_GB2312"/>
        </w:rPr>
        <w:t>单位工资经办人实时维护人员信息和工资数据，完成审批流程；</w:t>
      </w:r>
    </w:p>
    <w:p w14:paraId="6660E82E">
      <w:pPr>
        <w:pStyle w:val="76"/>
        <w:numPr>
          <w:ilvl w:val="0"/>
          <w:numId w:val="4"/>
        </w:numPr>
        <w:spacing w:beforeLines="0" w:afterLines="0"/>
        <w:ind w:firstLineChars="0"/>
        <w:rPr>
          <w:rFonts w:ascii="仿宋_GB2312" w:eastAsia="仿宋_GB2312"/>
        </w:rPr>
      </w:pPr>
      <w:r>
        <w:rPr>
          <w:rFonts w:hint="eastAsia" w:ascii="仿宋_GB2312" w:eastAsia="仿宋_GB2312"/>
        </w:rPr>
        <w:t>编制管理部门审核编制人数及人员信息管理；</w:t>
      </w:r>
    </w:p>
    <w:p w14:paraId="189F9A6A">
      <w:pPr>
        <w:pStyle w:val="76"/>
        <w:numPr>
          <w:ilvl w:val="0"/>
          <w:numId w:val="4"/>
        </w:numPr>
        <w:spacing w:beforeLines="0" w:afterLines="0"/>
        <w:ind w:firstLineChars="0"/>
        <w:rPr>
          <w:rFonts w:ascii="仿宋_GB2312" w:eastAsia="仿宋_GB2312"/>
        </w:rPr>
      </w:pPr>
      <w:r>
        <w:rPr>
          <w:rFonts w:hint="eastAsia" w:ascii="仿宋_GB2312" w:eastAsia="仿宋_GB2312"/>
        </w:rPr>
        <w:t>人事或组织部门审核相关人员工资数据管理</w:t>
      </w:r>
    </w:p>
    <w:p w14:paraId="1C5477BD">
      <w:pPr>
        <w:pStyle w:val="76"/>
        <w:numPr>
          <w:ilvl w:val="0"/>
          <w:numId w:val="4"/>
        </w:numPr>
        <w:spacing w:beforeLines="0" w:afterLines="0"/>
        <w:ind w:firstLineChars="0"/>
        <w:rPr>
          <w:rFonts w:ascii="仿宋_GB2312" w:eastAsia="仿宋_GB2312"/>
        </w:rPr>
      </w:pPr>
      <w:r>
        <w:rPr>
          <w:rFonts w:hint="eastAsia" w:ascii="仿宋_GB2312" w:eastAsia="仿宋_GB2312"/>
        </w:rPr>
        <w:t xml:space="preserve">财政审核单位用款计划匹配管理； </w:t>
      </w:r>
    </w:p>
    <w:p w14:paraId="08344C22">
      <w:pPr>
        <w:pStyle w:val="76"/>
        <w:numPr>
          <w:ilvl w:val="0"/>
          <w:numId w:val="4"/>
        </w:numPr>
        <w:spacing w:beforeLines="0" w:afterLines="0"/>
        <w:ind w:firstLineChars="0"/>
        <w:rPr>
          <w:rFonts w:ascii="仿宋_GB2312" w:eastAsia="仿宋_GB2312"/>
        </w:rPr>
      </w:pPr>
      <w:r>
        <w:rPr>
          <w:rFonts w:hint="eastAsia" w:ascii="仿宋_GB2312" w:eastAsia="仿宋_GB2312"/>
        </w:rPr>
        <w:t>工资统发信息综合报表查询分析；</w:t>
      </w:r>
      <w:bookmarkStart w:id="10" w:name="_Toc362356683"/>
    </w:p>
    <w:p w14:paraId="74D4476F">
      <w:pPr>
        <w:pStyle w:val="76"/>
        <w:spacing w:beforeLines="0" w:afterLines="0"/>
        <w:rPr>
          <w:rFonts w:ascii="仿宋_GB2312" w:eastAsia="仿宋_GB2312"/>
        </w:rPr>
      </w:pPr>
      <w:r>
        <w:rPr>
          <w:rFonts w:hint="eastAsia" w:ascii="仿宋_GB2312" w:eastAsia="仿宋_GB2312"/>
        </w:rPr>
        <w:t>4.5办公系统</w:t>
      </w:r>
    </w:p>
    <w:p w14:paraId="6BA5B692">
      <w:pPr>
        <w:pStyle w:val="76"/>
        <w:spacing w:beforeLines="0" w:afterLines="0"/>
        <w:rPr>
          <w:rFonts w:ascii="仿宋_GB2312" w:eastAsia="仿宋_GB2312"/>
        </w:rPr>
      </w:pPr>
      <w:r>
        <w:rPr>
          <w:rFonts w:ascii="仿宋_GB2312" w:eastAsia="仿宋_GB2312"/>
        </w:rPr>
        <w:t>通过网络技术，</w:t>
      </w:r>
      <w:r>
        <w:rPr>
          <w:rFonts w:hint="eastAsia" w:ascii="仿宋_GB2312" w:eastAsia="仿宋_GB2312"/>
        </w:rPr>
        <w:t>实现财政单位资源共享、高效协同的事务处理机制，建立一个综合协同办公平台，提高行政综合协同办公效率，加强业务督查督办，实现无纸化的办公应用，具体建设目标是：</w:t>
      </w:r>
    </w:p>
    <w:p w14:paraId="7BD8F31B">
      <w:pPr>
        <w:pStyle w:val="76"/>
        <w:numPr>
          <w:ilvl w:val="0"/>
          <w:numId w:val="5"/>
        </w:numPr>
        <w:spacing w:beforeLines="0" w:afterLines="0"/>
        <w:ind w:firstLineChars="0"/>
        <w:rPr>
          <w:rFonts w:ascii="仿宋_GB2312" w:eastAsia="仿宋_GB2312"/>
        </w:rPr>
      </w:pPr>
      <w:r>
        <w:rPr>
          <w:rFonts w:hint="eastAsia" w:ascii="仿宋_GB2312" w:eastAsia="仿宋_GB2312"/>
        </w:rPr>
        <w:t>政令督办：实现上级领导交办事项的落实情况的督促与检查，保证政令畅通，提高行政效率。</w:t>
      </w:r>
    </w:p>
    <w:p w14:paraId="6C9650A7">
      <w:pPr>
        <w:pStyle w:val="76"/>
        <w:numPr>
          <w:ilvl w:val="0"/>
          <w:numId w:val="5"/>
        </w:numPr>
        <w:spacing w:beforeLines="0" w:afterLines="0"/>
        <w:ind w:firstLineChars="0"/>
        <w:rPr>
          <w:rFonts w:ascii="仿宋_GB2312" w:eastAsia="仿宋_GB2312"/>
        </w:rPr>
      </w:pPr>
      <w:r>
        <w:rPr>
          <w:rFonts w:hint="eastAsia" w:ascii="仿宋_GB2312" w:eastAsia="仿宋_GB2312"/>
        </w:rPr>
        <w:t>事项管理：方便人员在系统中快速处理事项，政务行政办公平台提供事项管理功能。系统可根据人员角色，自动判断人员的应用权限和信息，将所有工作信息集中在事项管理中展现出来。</w:t>
      </w:r>
    </w:p>
    <w:p w14:paraId="22FF6DCD">
      <w:pPr>
        <w:pStyle w:val="76"/>
        <w:numPr>
          <w:ilvl w:val="0"/>
          <w:numId w:val="5"/>
        </w:numPr>
        <w:spacing w:beforeLines="0" w:afterLines="0"/>
        <w:ind w:firstLineChars="0"/>
        <w:rPr>
          <w:rFonts w:ascii="仿宋_GB2312" w:eastAsia="仿宋_GB2312"/>
        </w:rPr>
      </w:pPr>
      <w:r>
        <w:rPr>
          <w:rFonts w:hint="eastAsia" w:ascii="仿宋_GB2312" w:eastAsia="仿宋_GB2312"/>
        </w:rPr>
        <w:t>公文管理：公文办理过程为依据，从办理、流转、管理三个层次上实现办文全过程的计算机管理。系统设计充分考虑到目前国内计算机应用水平、领导日常办公习惯、领导批示的方便和手工办文的一致性等因素，使整个公文流转过程完全电子化。</w:t>
      </w:r>
    </w:p>
    <w:p w14:paraId="4B4ACE08">
      <w:pPr>
        <w:pStyle w:val="76"/>
        <w:numPr>
          <w:ilvl w:val="0"/>
          <w:numId w:val="5"/>
        </w:numPr>
        <w:spacing w:beforeLines="0" w:afterLines="0"/>
        <w:ind w:firstLineChars="0"/>
        <w:rPr>
          <w:rFonts w:ascii="仿宋_GB2312" w:eastAsia="仿宋_GB2312"/>
        </w:rPr>
      </w:pPr>
      <w:r>
        <w:rPr>
          <w:rFonts w:ascii="仿宋_GB2312" w:eastAsia="仿宋_GB2312"/>
        </w:rPr>
        <w:t>文档管理：</w:t>
      </w:r>
      <w:r>
        <w:rPr>
          <w:rFonts w:hint="eastAsia" w:ascii="仿宋_GB2312" w:eastAsia="仿宋_GB2312"/>
        </w:rPr>
        <w:t>文档管理使各种文档实现电子化，通过电子文件柜的形式实现文档的保管，从而建立不同的目录存放文档。还可以设定目录性质，包括：私有、共享等，按权限进行使用和共享。</w:t>
      </w:r>
    </w:p>
    <w:bookmarkEnd w:id="10"/>
    <w:p w14:paraId="17A849CD">
      <w:pPr>
        <w:pStyle w:val="76"/>
        <w:spacing w:beforeLines="0" w:afterLines="0"/>
        <w:ind w:firstLine="482"/>
        <w:rPr>
          <w:rFonts w:ascii="仿宋_GB2312" w:eastAsia="仿宋_GB2312"/>
        </w:rPr>
      </w:pPr>
      <w:bookmarkStart w:id="11" w:name="_Toc362356692"/>
      <w:r>
        <w:rPr>
          <w:rFonts w:hint="eastAsia" w:ascii="仿宋" w:hAnsi="仿宋" w:eastAsia="仿宋"/>
          <w:b/>
          <w:bCs/>
        </w:rPr>
        <w:t>5</w:t>
      </w:r>
      <w:r>
        <w:rPr>
          <w:rFonts w:hint="eastAsia" w:ascii="仿宋_GB2312" w:eastAsia="仿宋_GB2312"/>
        </w:rPr>
        <w:t>、总体技术要求</w:t>
      </w:r>
      <w:bookmarkEnd w:id="11"/>
    </w:p>
    <w:p w14:paraId="6FD113C5">
      <w:pPr>
        <w:pStyle w:val="76"/>
        <w:spacing w:beforeLines="0" w:afterLines="0"/>
        <w:rPr>
          <w:rFonts w:ascii="仿宋_GB2312" w:eastAsia="仿宋_GB2312"/>
        </w:rPr>
      </w:pPr>
      <w:bookmarkStart w:id="12" w:name="_Toc362356693"/>
      <w:r>
        <w:rPr>
          <w:rFonts w:hint="eastAsia" w:ascii="仿宋_GB2312" w:eastAsia="仿宋_GB2312"/>
        </w:rPr>
        <w:t>5.1 技术架构</w:t>
      </w:r>
      <w:bookmarkEnd w:id="12"/>
    </w:p>
    <w:p w14:paraId="07D5EF7E">
      <w:pPr>
        <w:pStyle w:val="76"/>
        <w:spacing w:beforeLines="0" w:afterLines="0"/>
        <w:rPr>
          <w:rFonts w:ascii="仿宋_GB2312" w:eastAsia="仿宋_GB2312"/>
        </w:rPr>
      </w:pPr>
      <w:r>
        <w:rPr>
          <w:rFonts w:hint="eastAsia" w:ascii="仿宋_GB2312" w:eastAsia="仿宋_GB2312"/>
        </w:rPr>
        <w:t>根据上述业务需求，结合“金财工程”跨平台的特性要求，在天宁区财政一体化系统设计时采用先进的、基于</w:t>
      </w:r>
      <w:r>
        <w:rPr>
          <w:rFonts w:ascii="仿宋_GB2312" w:eastAsia="仿宋_GB2312"/>
        </w:rPr>
        <w:t>J2EE</w:t>
      </w:r>
      <w:r>
        <w:rPr>
          <w:rFonts w:hint="eastAsia" w:ascii="仿宋_GB2312" w:eastAsia="仿宋_GB2312"/>
        </w:rPr>
        <w:t>平台体系的三层分布式技术架构，将用户界面、业务逻辑与数据资源进行分离。三个层次（表示层、中间逻辑层和数据访问层）可在不同平台下协作应用。</w:t>
      </w:r>
    </w:p>
    <w:p w14:paraId="4029E377">
      <w:pPr>
        <w:pStyle w:val="76"/>
        <w:spacing w:beforeLines="0" w:afterLines="0"/>
        <w:rPr>
          <w:rFonts w:ascii="仿宋_GB2312" w:eastAsia="仿宋_GB2312"/>
        </w:rPr>
      </w:pPr>
      <w:r>
        <w:rPr>
          <w:rFonts w:hint="eastAsia" w:ascii="仿宋_GB2312" w:eastAsia="仿宋_GB2312"/>
        </w:rPr>
        <w:t>（</w:t>
      </w:r>
      <w:r>
        <w:rPr>
          <w:rFonts w:ascii="仿宋_GB2312" w:eastAsia="仿宋_GB2312"/>
        </w:rPr>
        <w:t>1</w:t>
      </w:r>
      <w:r>
        <w:rPr>
          <w:rFonts w:hint="eastAsia" w:ascii="仿宋_GB2312" w:eastAsia="仿宋_GB2312"/>
        </w:rPr>
        <w:t>）表示层主要提供前端页面展示、人机交互等服务，包括以浏览器为载体的客户端体验，以门户为实现手段的信息集成。</w:t>
      </w:r>
    </w:p>
    <w:p w14:paraId="39925356">
      <w:pPr>
        <w:pStyle w:val="76"/>
        <w:spacing w:beforeLines="0" w:afterLines="0"/>
        <w:rPr>
          <w:rFonts w:ascii="仿宋_GB2312" w:eastAsia="仿宋_GB2312"/>
        </w:rPr>
      </w:pPr>
      <w:r>
        <w:rPr>
          <w:rFonts w:hint="eastAsia" w:ascii="仿宋_GB2312" w:eastAsia="仿宋_GB2312"/>
        </w:rPr>
        <w:t>（</w:t>
      </w:r>
      <w:r>
        <w:rPr>
          <w:rFonts w:ascii="仿宋_GB2312" w:eastAsia="仿宋_GB2312"/>
        </w:rPr>
        <w:t>2</w:t>
      </w:r>
      <w:r>
        <w:rPr>
          <w:rFonts w:hint="eastAsia" w:ascii="仿宋_GB2312" w:eastAsia="仿宋_GB2312"/>
        </w:rPr>
        <w:t>）中间逻辑层完成数据格式的正确性及数据类型验证、用户权限的合法性判断等操作。采用构件化的思想按照功能分为业务组件层和技术组件层。</w:t>
      </w:r>
    </w:p>
    <w:p w14:paraId="4923CFCC">
      <w:pPr>
        <w:pStyle w:val="76"/>
        <w:spacing w:beforeLines="0" w:afterLines="0"/>
        <w:rPr>
          <w:rFonts w:ascii="仿宋_GB2312" w:eastAsia="仿宋_GB2312"/>
        </w:rPr>
      </w:pPr>
      <w:r>
        <w:rPr>
          <w:rFonts w:hint="eastAsia" w:ascii="仿宋_GB2312" w:eastAsia="仿宋_GB2312"/>
        </w:rPr>
        <w:t>（</w:t>
      </w:r>
      <w:r>
        <w:rPr>
          <w:rFonts w:ascii="仿宋_GB2312" w:eastAsia="仿宋_GB2312"/>
        </w:rPr>
        <w:t>3</w:t>
      </w:r>
      <w:r>
        <w:rPr>
          <w:rFonts w:hint="eastAsia" w:ascii="仿宋_GB2312" w:eastAsia="仿宋_GB2312"/>
        </w:rPr>
        <w:t>）数据访问层实现和</w:t>
      </w:r>
      <w:r>
        <w:fldChar w:fldCharType="begin"/>
      </w:r>
      <w:r>
        <w:instrText xml:space="preserve"> HYPERLINK "file:///C:\\Users\\pc-1\\Documents\\Tencent%20Files\\1748062115\\FileRecv\\javascrīpt:;" </w:instrText>
      </w:r>
      <w:r>
        <w:fldChar w:fldCharType="separate"/>
      </w:r>
      <w:r>
        <w:rPr>
          <w:rFonts w:ascii="仿宋_GB2312" w:eastAsia="仿宋_GB2312"/>
        </w:rPr>
        <w:t>javascrīpt:</w:t>
      </w:r>
      <w:r>
        <w:rPr>
          <w:rFonts w:ascii="仿宋_GB2312" w:eastAsia="仿宋_GB2312"/>
        </w:rPr>
        <w:fldChar w:fldCharType="end"/>
      </w:r>
      <w:r>
        <w:fldChar w:fldCharType="begin"/>
      </w:r>
      <w:r>
        <w:instrText xml:space="preserve"> HYPERLINK "javascript:;" </w:instrText>
      </w:r>
      <w:r>
        <w:fldChar w:fldCharType="separate"/>
      </w:r>
      <w:r>
        <w:rPr>
          <w:rFonts w:hint="eastAsia" w:ascii="仿宋_GB2312" w:eastAsia="仿宋_GB2312"/>
        </w:rPr>
        <w:t>数据库</w:t>
      </w:r>
      <w:r>
        <w:rPr>
          <w:rFonts w:hint="eastAsia" w:ascii="仿宋_GB2312" w:eastAsia="仿宋_GB2312"/>
        </w:rPr>
        <w:fldChar w:fldCharType="end"/>
      </w:r>
      <w:r>
        <w:rPr>
          <w:rFonts w:hint="eastAsia" w:ascii="仿宋_GB2312" w:eastAsia="仿宋_GB2312"/>
        </w:rPr>
        <w:t>的交互，包括统一的数据访问及调度，逻辑上统一的数据存储方式。</w:t>
      </w:r>
    </w:p>
    <w:p w14:paraId="3A591493">
      <w:pPr>
        <w:pStyle w:val="76"/>
        <w:spacing w:beforeLines="0" w:afterLines="0"/>
        <w:rPr>
          <w:rFonts w:ascii="仿宋_GB2312" w:eastAsia="仿宋_GB2312"/>
        </w:rPr>
      </w:pPr>
      <w:r>
        <w:rPr>
          <w:rFonts w:hint="eastAsia" w:ascii="仿宋_GB2312" w:eastAsia="仿宋_GB2312"/>
        </w:rPr>
        <w:t>采用组件化、参数化、模式化等先进构造思想，在这些框架和组件基础上进行扩展，以构建灵活、健壮、高效、稳定的财政系统。系统总体架构如下图所示：</w:t>
      </w:r>
    </w:p>
    <w:p w14:paraId="523F4B45">
      <w:pPr>
        <w:pStyle w:val="76"/>
        <w:spacing w:beforeLines="0" w:afterLines="0"/>
        <w:rPr>
          <w:rFonts w:ascii="仿宋_GB2312" w:eastAsia="仿宋_GB2312"/>
        </w:rPr>
      </w:pPr>
      <w:r>
        <w:rPr>
          <w:rFonts w:hint="eastAsia" w:ascii="仿宋_GB2312" w:eastAsia="仿宋_GB2312"/>
        </w:rPr>
        <w:drawing>
          <wp:anchor distT="0" distB="0" distL="114300" distR="114300" simplePos="0" relativeHeight="251659264" behindDoc="0" locked="0" layoutInCell="1" allowOverlap="1">
            <wp:simplePos x="0" y="0"/>
            <wp:positionH relativeFrom="column">
              <wp:posOffset>308610</wp:posOffset>
            </wp:positionH>
            <wp:positionV relativeFrom="paragraph">
              <wp:posOffset>55245</wp:posOffset>
            </wp:positionV>
            <wp:extent cx="5534025" cy="3562350"/>
            <wp:effectExtent l="19050" t="0" r="9525" b="0"/>
            <wp:wrapTopAndBottom/>
            <wp:docPr id="1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pic:cNvPicPr>
                      <a:picLocks noChangeAspect="1" noChangeArrowheads="1"/>
                    </pic:cNvPicPr>
                  </pic:nvPicPr>
                  <pic:blipFill>
                    <a:blip r:embed="rId6" cstate="print"/>
                    <a:srcRect/>
                    <a:stretch>
                      <a:fillRect/>
                    </a:stretch>
                  </pic:blipFill>
                  <pic:spPr>
                    <a:xfrm>
                      <a:off x="0" y="0"/>
                      <a:ext cx="5534025" cy="3562350"/>
                    </a:xfrm>
                    <a:prstGeom prst="rect">
                      <a:avLst/>
                    </a:prstGeom>
                    <a:noFill/>
                  </pic:spPr>
                </pic:pic>
              </a:graphicData>
            </a:graphic>
          </wp:anchor>
        </w:drawing>
      </w:r>
    </w:p>
    <w:p w14:paraId="11FF6831">
      <w:pPr>
        <w:pStyle w:val="76"/>
        <w:spacing w:beforeLines="0" w:afterLines="0"/>
        <w:rPr>
          <w:rFonts w:ascii="仿宋_GB2312" w:eastAsia="仿宋_GB2312"/>
        </w:rPr>
      </w:pPr>
      <w:bookmarkStart w:id="13" w:name="_Toc362356694"/>
      <w:r>
        <w:rPr>
          <w:rFonts w:hint="eastAsia" w:ascii="仿宋_GB2312" w:eastAsia="仿宋_GB2312"/>
        </w:rPr>
        <w:t>5.2 应用模式</w:t>
      </w:r>
      <w:bookmarkEnd w:id="13"/>
    </w:p>
    <w:p w14:paraId="72BB593F">
      <w:pPr>
        <w:pStyle w:val="76"/>
        <w:spacing w:beforeLines="0" w:afterLines="0"/>
        <w:rPr>
          <w:rFonts w:ascii="仿宋_GB2312" w:eastAsia="仿宋_GB2312"/>
        </w:rPr>
      </w:pPr>
      <w:r>
        <w:rPr>
          <w:rFonts w:hint="eastAsia" w:ascii="仿宋_GB2312" w:eastAsia="仿宋_GB2312"/>
        </w:rPr>
        <w:t>系统采用</w:t>
      </w:r>
      <w:r>
        <w:rPr>
          <w:rFonts w:ascii="仿宋_GB2312" w:eastAsia="仿宋_GB2312"/>
        </w:rPr>
        <w:t xml:space="preserve"> C/S/S</w:t>
      </w:r>
      <w:r>
        <w:rPr>
          <w:rFonts w:hint="eastAsia" w:ascii="仿宋_GB2312" w:eastAsia="仿宋_GB2312"/>
        </w:rPr>
        <w:t>应用模式，实现应用系统表示逻辑与业务逻辑的分离，有利于系统的开发与维护，能够提供丰富、及时响应的用户界面，便于操作人员方便快捷的操作。中间件支持</w:t>
      </w:r>
      <w:r>
        <w:rPr>
          <w:rFonts w:ascii="仿宋_GB2312" w:eastAsia="仿宋_GB2312"/>
        </w:rPr>
        <w:t>Tomcat</w:t>
      </w:r>
      <w:r>
        <w:rPr>
          <w:rFonts w:hint="eastAsia" w:ascii="仿宋_GB2312" w:eastAsia="仿宋_GB2312"/>
        </w:rPr>
        <w:t>，客户端支持多种主流的浏览器，如</w:t>
      </w:r>
      <w:r>
        <w:rPr>
          <w:rFonts w:ascii="仿宋_GB2312" w:eastAsia="仿宋_GB2312"/>
        </w:rPr>
        <w:t>IE6</w:t>
      </w:r>
      <w:r>
        <w:rPr>
          <w:rFonts w:hint="eastAsia" w:ascii="仿宋_GB2312" w:eastAsia="仿宋_GB2312"/>
        </w:rPr>
        <w:t>及以上、</w:t>
      </w:r>
      <w:r>
        <w:rPr>
          <w:rFonts w:ascii="仿宋_GB2312" w:eastAsia="仿宋_GB2312"/>
        </w:rPr>
        <w:t>Firefox</w:t>
      </w:r>
      <w:r>
        <w:rPr>
          <w:rFonts w:hint="eastAsia" w:ascii="仿宋_GB2312" w:eastAsia="仿宋_GB2312"/>
        </w:rPr>
        <w:t>等。</w:t>
      </w:r>
    </w:p>
    <w:p w14:paraId="6D4D29C4">
      <w:pPr>
        <w:pStyle w:val="76"/>
        <w:spacing w:beforeLines="0" w:afterLines="0"/>
        <w:rPr>
          <w:rFonts w:ascii="仿宋_GB2312" w:eastAsia="仿宋_GB2312"/>
        </w:rPr>
      </w:pPr>
      <w:bookmarkStart w:id="14" w:name="_Toc362356695"/>
      <w:r>
        <w:rPr>
          <w:rFonts w:hint="eastAsia" w:ascii="仿宋_GB2312" w:eastAsia="仿宋_GB2312"/>
        </w:rPr>
        <w:t>5.2.</w:t>
      </w:r>
      <w:r>
        <w:rPr>
          <w:rFonts w:ascii="仿宋_GB2312" w:eastAsia="仿宋_GB2312"/>
        </w:rPr>
        <w:t xml:space="preserve">1. </w:t>
      </w:r>
      <w:r>
        <w:rPr>
          <w:rFonts w:hint="eastAsia" w:ascii="仿宋_GB2312" w:eastAsia="仿宋_GB2312"/>
        </w:rPr>
        <w:t>客户端技术</w:t>
      </w:r>
      <w:bookmarkEnd w:id="14"/>
    </w:p>
    <w:p w14:paraId="578329D2">
      <w:pPr>
        <w:pStyle w:val="76"/>
        <w:spacing w:beforeLines="0" w:afterLines="0"/>
        <w:rPr>
          <w:rFonts w:ascii="仿宋_GB2312" w:eastAsia="仿宋_GB2312"/>
        </w:rPr>
      </w:pPr>
      <w:r>
        <w:rPr>
          <w:rFonts w:hint="eastAsia" w:ascii="仿宋_GB2312" w:eastAsia="仿宋_GB2312"/>
        </w:rPr>
        <w:t>采用基于</w:t>
      </w:r>
      <w:r>
        <w:rPr>
          <w:rFonts w:ascii="仿宋_GB2312" w:eastAsia="仿宋_GB2312"/>
        </w:rPr>
        <w:t>Web</w:t>
      </w:r>
      <w:r>
        <w:rPr>
          <w:rFonts w:hint="eastAsia" w:ascii="仿宋_GB2312" w:eastAsia="仿宋_GB2312"/>
        </w:rPr>
        <w:t>浏览器的瘦客户端技术，采用</w:t>
      </w:r>
      <w:r>
        <w:rPr>
          <w:rFonts w:ascii="仿宋_GB2312" w:eastAsia="仿宋_GB2312"/>
        </w:rPr>
        <w:t>HTML/DHTML+ Script</w:t>
      </w:r>
      <w:r>
        <w:rPr>
          <w:rFonts w:hint="eastAsia" w:ascii="仿宋_GB2312" w:eastAsia="仿宋_GB2312"/>
        </w:rPr>
        <w:t>脚本</w:t>
      </w:r>
      <w:r>
        <w:rPr>
          <w:rFonts w:ascii="仿宋_GB2312" w:eastAsia="仿宋_GB2312"/>
        </w:rPr>
        <w:t>+Ajax+CSS+Flash+JSF+XLS+tab</w:t>
      </w:r>
      <w:r>
        <w:rPr>
          <w:rFonts w:hint="eastAsia" w:ascii="仿宋_GB2312" w:eastAsia="仿宋_GB2312"/>
        </w:rPr>
        <w:t>实现。为提高整体性能，使用户得到更好的操作体验，采用</w:t>
      </w:r>
      <w:r>
        <w:rPr>
          <w:rFonts w:ascii="仿宋_GB2312" w:eastAsia="仿宋_GB2312"/>
        </w:rPr>
        <w:t>AJAX</w:t>
      </w:r>
      <w:r>
        <w:rPr>
          <w:rFonts w:hint="eastAsia" w:ascii="仿宋_GB2312" w:eastAsia="仿宋_GB2312"/>
        </w:rPr>
        <w:t>方式来实现客户端与服务端的交互。</w:t>
      </w:r>
    </w:p>
    <w:p w14:paraId="57F5D2BD">
      <w:pPr>
        <w:pStyle w:val="76"/>
        <w:spacing w:beforeLines="0" w:afterLines="0"/>
        <w:rPr>
          <w:rFonts w:ascii="仿宋_GB2312" w:eastAsia="仿宋_GB2312"/>
        </w:rPr>
      </w:pPr>
      <w:bookmarkStart w:id="15" w:name="_Toc362356696"/>
      <w:r>
        <w:rPr>
          <w:rFonts w:hint="eastAsia" w:ascii="仿宋_GB2312" w:eastAsia="仿宋_GB2312"/>
        </w:rPr>
        <w:t>5.2.</w:t>
      </w:r>
      <w:r>
        <w:rPr>
          <w:rFonts w:ascii="仿宋_GB2312" w:eastAsia="仿宋_GB2312"/>
        </w:rPr>
        <w:t xml:space="preserve">2. </w:t>
      </w:r>
      <w:r>
        <w:rPr>
          <w:rFonts w:hint="eastAsia" w:ascii="仿宋_GB2312" w:eastAsia="仿宋_GB2312"/>
        </w:rPr>
        <w:t>服务端技术</w:t>
      </w:r>
      <w:bookmarkEnd w:id="15"/>
    </w:p>
    <w:p w14:paraId="1FEEC7E1">
      <w:pPr>
        <w:pStyle w:val="76"/>
        <w:spacing w:beforeLines="0" w:afterLines="0"/>
        <w:rPr>
          <w:rFonts w:ascii="仿宋_GB2312" w:eastAsia="仿宋_GB2312"/>
        </w:rPr>
      </w:pPr>
      <w:r>
        <w:rPr>
          <w:rFonts w:hint="eastAsia" w:ascii="仿宋_GB2312" w:eastAsia="仿宋_GB2312"/>
        </w:rPr>
        <w:t>按照金财工程建设标准和规范，采用</w:t>
      </w:r>
      <w:r>
        <w:rPr>
          <w:rFonts w:ascii="仿宋_GB2312" w:eastAsia="仿宋_GB2312"/>
        </w:rPr>
        <w:t>J2EE</w:t>
      </w:r>
      <w:r>
        <w:rPr>
          <w:rFonts w:hint="eastAsia" w:ascii="仿宋_GB2312" w:eastAsia="仿宋_GB2312"/>
        </w:rPr>
        <w:t>作为服务端的实现技术平台。</w:t>
      </w:r>
    </w:p>
    <w:p w14:paraId="3E17E756">
      <w:pPr>
        <w:pStyle w:val="76"/>
        <w:spacing w:beforeLines="0" w:afterLines="0"/>
        <w:rPr>
          <w:rFonts w:ascii="仿宋_GB2312" w:eastAsia="仿宋_GB2312"/>
        </w:rPr>
      </w:pPr>
      <w:bookmarkStart w:id="16" w:name="_Toc362356697"/>
      <w:r>
        <w:rPr>
          <w:rFonts w:hint="eastAsia" w:ascii="仿宋_GB2312" w:eastAsia="仿宋_GB2312"/>
        </w:rPr>
        <w:t>5.3 数据中心</w:t>
      </w:r>
      <w:bookmarkEnd w:id="16"/>
    </w:p>
    <w:p w14:paraId="6F05FFF3">
      <w:pPr>
        <w:pStyle w:val="76"/>
        <w:spacing w:beforeLines="0" w:afterLines="0"/>
        <w:rPr>
          <w:rFonts w:ascii="仿宋_GB2312" w:eastAsia="仿宋_GB2312"/>
        </w:rPr>
      </w:pPr>
      <w:r>
        <w:rPr>
          <w:rFonts w:hint="eastAsia" w:ascii="仿宋_GB2312" w:eastAsia="仿宋_GB2312"/>
        </w:rPr>
        <w:t>通过构建数据中心（数据仓库、数据交换平台）来完成数据采集、存放、交换、分析等功能。</w:t>
      </w:r>
    </w:p>
    <w:p w14:paraId="3E909427">
      <w:pPr>
        <w:pStyle w:val="76"/>
        <w:spacing w:beforeLines="0" w:afterLines="0"/>
        <w:rPr>
          <w:rFonts w:ascii="仿宋_GB2312" w:eastAsia="仿宋_GB2312"/>
        </w:rPr>
      </w:pPr>
      <w:r>
        <w:rPr>
          <w:rFonts w:hint="eastAsia" w:ascii="仿宋_GB2312" w:eastAsia="仿宋_GB2312"/>
        </w:rPr>
        <w:t>5.4 性能要求</w:t>
      </w:r>
    </w:p>
    <w:p w14:paraId="0B7DC9F3">
      <w:pPr>
        <w:pStyle w:val="76"/>
        <w:spacing w:beforeLines="0" w:afterLines="0"/>
        <w:rPr>
          <w:rFonts w:ascii="仿宋_GB2312" w:eastAsia="仿宋_GB2312"/>
        </w:rPr>
      </w:pPr>
      <w:r>
        <w:rPr>
          <w:rFonts w:hint="eastAsia" w:ascii="仿宋_GB2312" w:eastAsia="仿宋_GB2312"/>
        </w:rPr>
        <w:t>采用轻量级技术，降低平台运行开销，用户界面跟应用逻辑代码分开，可以根据客户要求随时修改，增强操作响应速度。</w:t>
      </w:r>
    </w:p>
    <w:p w14:paraId="0464E0C9">
      <w:pPr>
        <w:pStyle w:val="76"/>
        <w:spacing w:beforeLines="0" w:afterLines="0"/>
        <w:rPr>
          <w:rFonts w:ascii="仿宋_GB2312" w:eastAsia="仿宋_GB2312"/>
        </w:rPr>
      </w:pPr>
      <w:r>
        <w:rPr>
          <w:rFonts w:hint="eastAsia" w:ascii="仿宋_GB2312" w:eastAsia="仿宋_GB2312"/>
        </w:rPr>
        <w:t>（</w:t>
      </w:r>
      <w:r>
        <w:rPr>
          <w:rFonts w:ascii="仿宋_GB2312" w:eastAsia="仿宋_GB2312"/>
        </w:rPr>
        <w:t>1</w:t>
      </w:r>
      <w:r>
        <w:rPr>
          <w:rFonts w:hint="eastAsia" w:ascii="仿宋_GB2312" w:eastAsia="仿宋_GB2312"/>
        </w:rPr>
        <w:t>）支持最大用户数大于</w:t>
      </w:r>
      <w:r>
        <w:rPr>
          <w:rFonts w:ascii="仿宋_GB2312" w:eastAsia="仿宋_GB2312"/>
        </w:rPr>
        <w:t xml:space="preserve">500 </w:t>
      </w:r>
      <w:r>
        <w:rPr>
          <w:rFonts w:hint="eastAsia" w:ascii="仿宋_GB2312" w:eastAsia="仿宋_GB2312"/>
        </w:rPr>
        <w:t>个。支持日常</w:t>
      </w:r>
      <w:r>
        <w:rPr>
          <w:rFonts w:ascii="仿宋_GB2312" w:eastAsia="仿宋_GB2312"/>
        </w:rPr>
        <w:t>350</w:t>
      </w:r>
      <w:r>
        <w:rPr>
          <w:rFonts w:hint="eastAsia" w:ascii="仿宋_GB2312" w:eastAsia="仿宋_GB2312"/>
        </w:rPr>
        <w:t>用户同时在线使用。</w:t>
      </w:r>
    </w:p>
    <w:p w14:paraId="7F8EE413">
      <w:pPr>
        <w:pStyle w:val="76"/>
        <w:spacing w:beforeLines="0" w:afterLines="0"/>
        <w:rPr>
          <w:rFonts w:ascii="仿宋_GB2312" w:eastAsia="仿宋_GB2312"/>
        </w:rPr>
      </w:pPr>
      <w:r>
        <w:rPr>
          <w:rFonts w:hint="eastAsia" w:ascii="仿宋_GB2312" w:eastAsia="仿宋_GB2312"/>
        </w:rPr>
        <w:t>（</w:t>
      </w:r>
      <w:r>
        <w:rPr>
          <w:rFonts w:ascii="仿宋_GB2312" w:eastAsia="仿宋_GB2312"/>
        </w:rPr>
        <w:t>2</w:t>
      </w:r>
      <w:r>
        <w:rPr>
          <w:rFonts w:hint="eastAsia" w:ascii="仿宋_GB2312" w:eastAsia="仿宋_GB2312"/>
        </w:rPr>
        <w:t>）响应时间≤</w:t>
      </w:r>
      <w:r>
        <w:rPr>
          <w:rFonts w:ascii="仿宋_GB2312" w:eastAsia="仿宋_GB2312"/>
        </w:rPr>
        <w:t>1</w:t>
      </w:r>
      <w:r>
        <w:rPr>
          <w:rFonts w:hint="eastAsia" w:ascii="仿宋_GB2312" w:eastAsia="仿宋_GB2312"/>
        </w:rPr>
        <w:t>秒，高峰期最大响应时间小于</w:t>
      </w:r>
      <w:r>
        <w:rPr>
          <w:rFonts w:ascii="仿宋_GB2312" w:eastAsia="仿宋_GB2312"/>
        </w:rPr>
        <w:t>5</w:t>
      </w:r>
      <w:r>
        <w:rPr>
          <w:rFonts w:hint="eastAsia" w:ascii="仿宋_GB2312" w:eastAsia="仿宋_GB2312"/>
        </w:rPr>
        <w:t>秒。</w:t>
      </w:r>
    </w:p>
    <w:p w14:paraId="2295EB3A">
      <w:pPr>
        <w:pStyle w:val="76"/>
        <w:spacing w:beforeLines="0" w:afterLines="0"/>
        <w:rPr>
          <w:rFonts w:ascii="仿宋_GB2312" w:eastAsia="仿宋_GB2312"/>
        </w:rPr>
      </w:pPr>
      <w:r>
        <w:rPr>
          <w:rFonts w:hint="eastAsia" w:ascii="仿宋_GB2312" w:eastAsia="仿宋_GB2312"/>
        </w:rPr>
        <w:t>（</w:t>
      </w:r>
      <w:r>
        <w:rPr>
          <w:rFonts w:ascii="仿宋_GB2312" w:eastAsia="仿宋_GB2312"/>
        </w:rPr>
        <w:t>3</w:t>
      </w:r>
      <w:r>
        <w:rPr>
          <w:rFonts w:hint="eastAsia" w:ascii="仿宋_GB2312" w:eastAsia="仿宋_GB2312"/>
        </w:rPr>
        <w:t>）事务处理操作平均</w:t>
      </w:r>
      <w:r>
        <w:rPr>
          <w:rFonts w:ascii="仿宋_GB2312" w:eastAsia="仿宋_GB2312"/>
        </w:rPr>
        <w:t>2</w:t>
      </w:r>
      <w:r>
        <w:rPr>
          <w:rFonts w:hint="eastAsia" w:ascii="仿宋_GB2312" w:eastAsia="仿宋_GB2312"/>
        </w:rPr>
        <w:t>秒。</w:t>
      </w:r>
    </w:p>
    <w:p w14:paraId="6D2B1F37">
      <w:pPr>
        <w:pStyle w:val="76"/>
        <w:spacing w:beforeLines="0" w:afterLines="0"/>
        <w:rPr>
          <w:rFonts w:ascii="仿宋_GB2312" w:eastAsia="仿宋_GB2312"/>
        </w:rPr>
      </w:pPr>
      <w:r>
        <w:rPr>
          <w:rFonts w:hint="eastAsia" w:ascii="仿宋_GB2312" w:eastAsia="仿宋_GB2312"/>
        </w:rPr>
        <w:t>（</w:t>
      </w:r>
      <w:r>
        <w:rPr>
          <w:rFonts w:ascii="仿宋_GB2312" w:eastAsia="仿宋_GB2312"/>
        </w:rPr>
        <w:t>4</w:t>
      </w:r>
      <w:r>
        <w:rPr>
          <w:rFonts w:hint="eastAsia" w:ascii="仿宋_GB2312" w:eastAsia="仿宋_GB2312"/>
        </w:rPr>
        <w:t>）普通应用查询平均</w:t>
      </w:r>
      <w:r>
        <w:rPr>
          <w:rFonts w:ascii="仿宋_GB2312" w:eastAsia="仿宋_GB2312"/>
        </w:rPr>
        <w:t>3</w:t>
      </w:r>
      <w:r>
        <w:rPr>
          <w:rFonts w:hint="eastAsia" w:ascii="仿宋_GB2312" w:eastAsia="仿宋_GB2312"/>
        </w:rPr>
        <w:t>秒。</w:t>
      </w:r>
    </w:p>
    <w:p w14:paraId="01AC7142">
      <w:pPr>
        <w:pStyle w:val="76"/>
        <w:spacing w:beforeLines="0" w:afterLines="0"/>
        <w:rPr>
          <w:rFonts w:ascii="仿宋_GB2312" w:eastAsia="仿宋_GB2312"/>
        </w:rPr>
      </w:pPr>
      <w:r>
        <w:rPr>
          <w:rFonts w:hint="eastAsia" w:ascii="仿宋_GB2312" w:eastAsia="仿宋_GB2312"/>
        </w:rPr>
        <w:t>（</w:t>
      </w:r>
      <w:r>
        <w:rPr>
          <w:rFonts w:ascii="仿宋_GB2312" w:eastAsia="仿宋_GB2312"/>
        </w:rPr>
        <w:t>5</w:t>
      </w:r>
      <w:r>
        <w:rPr>
          <w:rFonts w:hint="eastAsia" w:ascii="仿宋_GB2312" w:eastAsia="仿宋_GB2312"/>
        </w:rPr>
        <w:t>）统计分析类查询平均</w:t>
      </w:r>
      <w:r>
        <w:rPr>
          <w:rFonts w:ascii="仿宋_GB2312" w:eastAsia="仿宋_GB2312"/>
        </w:rPr>
        <w:t>5</w:t>
      </w:r>
      <w:r>
        <w:rPr>
          <w:rFonts w:hint="eastAsia" w:ascii="仿宋_GB2312" w:eastAsia="仿宋_GB2312"/>
        </w:rPr>
        <w:t>秒。</w:t>
      </w:r>
    </w:p>
    <w:p w14:paraId="68B745BC">
      <w:pPr>
        <w:pStyle w:val="76"/>
        <w:spacing w:beforeLines="0" w:afterLines="0"/>
        <w:rPr>
          <w:rFonts w:ascii="仿宋_GB2312" w:eastAsia="仿宋_GB2312"/>
        </w:rPr>
      </w:pPr>
      <w:r>
        <w:rPr>
          <w:rFonts w:hint="eastAsia" w:ascii="仿宋_GB2312" w:eastAsia="仿宋_GB2312"/>
        </w:rPr>
        <w:t>（</w:t>
      </w:r>
      <w:r>
        <w:rPr>
          <w:rFonts w:ascii="仿宋_GB2312" w:eastAsia="仿宋_GB2312"/>
        </w:rPr>
        <w:t>6</w:t>
      </w:r>
      <w:r>
        <w:rPr>
          <w:rFonts w:hint="eastAsia" w:ascii="仿宋_GB2312" w:eastAsia="仿宋_GB2312"/>
        </w:rPr>
        <w:t>）业务流转时间不超过</w:t>
      </w:r>
      <w:r>
        <w:rPr>
          <w:rFonts w:ascii="仿宋_GB2312" w:eastAsia="仿宋_GB2312"/>
        </w:rPr>
        <w:t>5</w:t>
      </w:r>
      <w:r>
        <w:rPr>
          <w:rFonts w:hint="eastAsia" w:ascii="仿宋_GB2312" w:eastAsia="仿宋_GB2312"/>
        </w:rPr>
        <w:t>秒。</w:t>
      </w:r>
    </w:p>
    <w:p w14:paraId="74561AC6">
      <w:pPr>
        <w:pStyle w:val="76"/>
        <w:spacing w:beforeLines="0" w:afterLines="0"/>
        <w:rPr>
          <w:rFonts w:ascii="仿宋_GB2312" w:eastAsia="仿宋_GB2312"/>
        </w:rPr>
      </w:pPr>
      <w:r>
        <w:rPr>
          <w:rFonts w:hint="eastAsia" w:ascii="仿宋_GB2312" w:eastAsia="仿宋_GB2312"/>
        </w:rPr>
        <w:t>（</w:t>
      </w:r>
      <w:r>
        <w:rPr>
          <w:rFonts w:ascii="仿宋_GB2312" w:eastAsia="仿宋_GB2312"/>
        </w:rPr>
        <w:t>7</w:t>
      </w:r>
      <w:r>
        <w:rPr>
          <w:rFonts w:hint="eastAsia" w:ascii="仿宋_GB2312" w:eastAsia="仿宋_GB2312"/>
        </w:rPr>
        <w:t>）平均日处理能力不低于</w:t>
      </w:r>
      <w:r>
        <w:rPr>
          <w:rFonts w:ascii="仿宋_GB2312" w:eastAsia="仿宋_GB2312"/>
        </w:rPr>
        <w:t>10</w:t>
      </w:r>
      <w:r>
        <w:rPr>
          <w:rFonts w:hint="eastAsia" w:ascii="仿宋_GB2312" w:eastAsia="仿宋_GB2312"/>
        </w:rPr>
        <w:t>万笔（不计批量数据导入）。吞吐量（每月交易量、数据量、高峰期每日交易量、数据量）在保证性能的前提下，系统设计能够满足未来五年的交易高峰量。</w:t>
      </w:r>
    </w:p>
    <w:p w14:paraId="6D518D57">
      <w:pPr>
        <w:pStyle w:val="76"/>
        <w:spacing w:beforeLines="0" w:afterLines="0"/>
        <w:rPr>
          <w:rFonts w:ascii="仿宋_GB2312" w:eastAsia="仿宋_GB2312"/>
        </w:rPr>
      </w:pPr>
      <w:r>
        <w:rPr>
          <w:rFonts w:hint="eastAsia" w:ascii="仿宋_GB2312" w:eastAsia="仿宋_GB2312"/>
        </w:rPr>
        <w:t>5.5 技术要求</w:t>
      </w:r>
    </w:p>
    <w:p w14:paraId="3570B909">
      <w:pPr>
        <w:pStyle w:val="76"/>
        <w:spacing w:beforeLines="0" w:afterLines="0"/>
        <w:rPr>
          <w:rFonts w:ascii="仿宋_GB2312" w:eastAsia="仿宋_GB2312"/>
        </w:rPr>
      </w:pPr>
      <w:r>
        <w:rPr>
          <w:rFonts w:hint="eastAsia" w:ascii="仿宋_GB2312" w:eastAsia="仿宋_GB2312"/>
        </w:rPr>
        <w:t>遵从项目建设原则，确保系统的安全、可靠、稳定。</w:t>
      </w:r>
    </w:p>
    <w:p w14:paraId="555C1565">
      <w:pPr>
        <w:pStyle w:val="76"/>
        <w:spacing w:beforeLines="0" w:afterLines="0"/>
        <w:rPr>
          <w:rFonts w:ascii="仿宋_GB2312" w:eastAsia="仿宋_GB2312"/>
        </w:rPr>
      </w:pPr>
      <w:r>
        <w:rPr>
          <w:rFonts w:hint="eastAsia" w:ascii="仿宋_GB2312" w:eastAsia="仿宋_GB2312"/>
        </w:rPr>
        <w:t>5.5.1</w:t>
      </w:r>
      <w:r>
        <w:rPr>
          <w:rFonts w:ascii="仿宋_GB2312" w:eastAsia="仿宋_GB2312"/>
        </w:rPr>
        <w:t xml:space="preserve">. </w:t>
      </w:r>
      <w:r>
        <w:rPr>
          <w:rFonts w:hint="eastAsia" w:ascii="仿宋_GB2312" w:eastAsia="仿宋_GB2312"/>
        </w:rPr>
        <w:t>业务可配置</w:t>
      </w:r>
    </w:p>
    <w:p w14:paraId="62A36BB7">
      <w:pPr>
        <w:pStyle w:val="76"/>
        <w:spacing w:beforeLines="0" w:afterLines="0"/>
        <w:rPr>
          <w:rFonts w:ascii="仿宋_GB2312" w:eastAsia="仿宋_GB2312"/>
        </w:rPr>
      </w:pPr>
      <w:r>
        <w:rPr>
          <w:rFonts w:hint="eastAsia" w:ascii="仿宋_GB2312" w:eastAsia="仿宋_GB2312"/>
        </w:rPr>
        <w:t>将业务框架、业务功能进行抽象，采用组件化和参数化设计方法，利用应用支撑平台提供的标准组件构建业务功能模块。系统应提供业务逻辑在线定制，实现系统应用过程中对用户需求变化的适应性；可根据实际情况对功能进行灵活调整而无需修改程序；提供参数配置工具以调整系统参数、算法、规则等；提供主要业务单据要素自定义功能，可通过系统定制功能实现单据某些要素的启用或关闭等。</w:t>
      </w:r>
    </w:p>
    <w:p w14:paraId="21A59C84">
      <w:pPr>
        <w:pStyle w:val="76"/>
        <w:spacing w:beforeLines="0" w:afterLines="0"/>
        <w:rPr>
          <w:rFonts w:ascii="仿宋_GB2312" w:eastAsia="仿宋_GB2312"/>
        </w:rPr>
      </w:pPr>
      <w:r>
        <w:rPr>
          <w:rFonts w:hint="eastAsia" w:ascii="仿宋_GB2312" w:eastAsia="仿宋_GB2312"/>
        </w:rPr>
        <w:t>5.5.2</w:t>
      </w:r>
      <w:r>
        <w:rPr>
          <w:rFonts w:ascii="仿宋_GB2312" w:eastAsia="仿宋_GB2312"/>
        </w:rPr>
        <w:t xml:space="preserve">. </w:t>
      </w:r>
      <w:r>
        <w:rPr>
          <w:rFonts w:hint="eastAsia" w:ascii="仿宋_GB2312" w:eastAsia="仿宋_GB2312"/>
        </w:rPr>
        <w:t>建立信息安全保障体系</w:t>
      </w:r>
    </w:p>
    <w:p w14:paraId="321D214F">
      <w:pPr>
        <w:pStyle w:val="76"/>
        <w:spacing w:beforeLines="0" w:afterLines="0"/>
        <w:rPr>
          <w:rFonts w:ascii="仿宋_GB2312" w:eastAsia="仿宋_GB2312"/>
        </w:rPr>
      </w:pPr>
      <w:r>
        <w:rPr>
          <w:rFonts w:hint="eastAsia" w:ascii="仿宋_GB2312" w:eastAsia="仿宋_GB2312"/>
        </w:rPr>
        <w:t>保障财政一体化系统安全，规范和加强以身份认证、授权管理、责任认定等为主要内容的信息安全体系建设。必须达到以下三个要求：</w:t>
      </w:r>
    </w:p>
    <w:p w14:paraId="206FA11C">
      <w:pPr>
        <w:pStyle w:val="76"/>
        <w:spacing w:beforeLines="0" w:afterLines="0"/>
        <w:rPr>
          <w:rFonts w:ascii="仿宋_GB2312" w:eastAsia="仿宋_GB2312"/>
        </w:rPr>
      </w:pPr>
      <w:r>
        <w:rPr>
          <w:rFonts w:hint="eastAsia" w:ascii="仿宋_GB2312" w:eastAsia="仿宋_GB2312"/>
        </w:rPr>
        <w:t>（</w:t>
      </w:r>
      <w:r>
        <w:rPr>
          <w:rFonts w:ascii="仿宋_GB2312" w:eastAsia="仿宋_GB2312"/>
        </w:rPr>
        <w:t>1</w:t>
      </w:r>
      <w:r>
        <w:rPr>
          <w:rFonts w:hint="eastAsia" w:ascii="仿宋_GB2312" w:eastAsia="仿宋_GB2312"/>
        </w:rPr>
        <w:t>）确保资金运行安全</w:t>
      </w:r>
    </w:p>
    <w:p w14:paraId="55F523B0">
      <w:pPr>
        <w:pStyle w:val="76"/>
        <w:spacing w:beforeLines="0" w:afterLines="0"/>
        <w:rPr>
          <w:rFonts w:ascii="仿宋_GB2312" w:eastAsia="仿宋_GB2312"/>
        </w:rPr>
      </w:pPr>
      <w:r>
        <w:rPr>
          <w:rFonts w:hint="eastAsia" w:ascii="仿宋_GB2312" w:eastAsia="仿宋_GB2312"/>
        </w:rPr>
        <w:t>系统要通过设置合理的审批环节，层层严格控制把关，保证财政性资金按照法定科目、用途、支出口径和方向进行预算合理编制及资金安全使用。</w:t>
      </w:r>
    </w:p>
    <w:p w14:paraId="780A1C42">
      <w:pPr>
        <w:pStyle w:val="76"/>
        <w:spacing w:beforeLines="0" w:afterLines="0"/>
        <w:rPr>
          <w:rFonts w:ascii="仿宋_GB2312" w:eastAsia="仿宋_GB2312"/>
        </w:rPr>
      </w:pPr>
      <w:r>
        <w:rPr>
          <w:rFonts w:hint="eastAsia" w:ascii="仿宋_GB2312" w:eastAsia="仿宋_GB2312"/>
        </w:rPr>
        <w:t>（</w:t>
      </w:r>
      <w:r>
        <w:rPr>
          <w:rFonts w:ascii="仿宋_GB2312" w:eastAsia="仿宋_GB2312"/>
        </w:rPr>
        <w:t>2</w:t>
      </w:r>
      <w:r>
        <w:rPr>
          <w:rFonts w:hint="eastAsia" w:ascii="仿宋_GB2312" w:eastAsia="仿宋_GB2312"/>
        </w:rPr>
        <w:t>）确保系统权限安全</w:t>
      </w:r>
    </w:p>
    <w:p w14:paraId="5B301BD1">
      <w:pPr>
        <w:pStyle w:val="76"/>
        <w:spacing w:beforeLines="0" w:afterLines="0"/>
        <w:rPr>
          <w:rFonts w:ascii="仿宋_GB2312" w:eastAsia="仿宋_GB2312"/>
        </w:rPr>
      </w:pPr>
      <w:r>
        <w:rPr>
          <w:rFonts w:hint="eastAsia" w:ascii="仿宋_GB2312" w:eastAsia="仿宋_GB2312"/>
        </w:rPr>
        <w:t>系统要有严格的权限授权和级次控制机制，确保系统用户只能在规定的岗位上操作规定的业务环节和浏览规定的业务数据。</w:t>
      </w:r>
    </w:p>
    <w:p w14:paraId="71881AAB">
      <w:pPr>
        <w:pStyle w:val="76"/>
        <w:spacing w:beforeLines="0" w:afterLines="0"/>
        <w:rPr>
          <w:rFonts w:ascii="仿宋_GB2312" w:eastAsia="仿宋_GB2312"/>
        </w:rPr>
      </w:pPr>
      <w:r>
        <w:rPr>
          <w:rFonts w:hint="eastAsia" w:ascii="仿宋_GB2312" w:eastAsia="仿宋_GB2312"/>
        </w:rPr>
        <w:t>（</w:t>
      </w:r>
      <w:r>
        <w:rPr>
          <w:rFonts w:ascii="仿宋_GB2312" w:eastAsia="仿宋_GB2312"/>
        </w:rPr>
        <w:t>3</w:t>
      </w:r>
      <w:r>
        <w:rPr>
          <w:rFonts w:hint="eastAsia" w:ascii="仿宋_GB2312" w:eastAsia="仿宋_GB2312"/>
        </w:rPr>
        <w:t>）确保系统数据安全</w:t>
      </w:r>
    </w:p>
    <w:p w14:paraId="421CD990">
      <w:pPr>
        <w:pStyle w:val="76"/>
        <w:spacing w:beforeLines="0" w:afterLines="0"/>
        <w:rPr>
          <w:rFonts w:ascii="仿宋_GB2312" w:eastAsia="仿宋_GB2312"/>
        </w:rPr>
      </w:pPr>
      <w:r>
        <w:rPr>
          <w:rFonts w:hint="eastAsia" w:ascii="仿宋_GB2312" w:eastAsia="仿宋_GB2312"/>
        </w:rPr>
        <w:t>系统要有严密的数据加密体系和安全访问控制体系，以确保系统运行中的数据安全。保证不会因系统自身的错误而使数据遭受破坏或被非法获取。</w:t>
      </w:r>
    </w:p>
    <w:p w14:paraId="5BFC44DD">
      <w:pPr>
        <w:pStyle w:val="76"/>
        <w:spacing w:beforeLines="0" w:afterLines="0"/>
        <w:rPr>
          <w:rFonts w:ascii="仿宋_GB2312" w:eastAsia="仿宋_GB2312"/>
        </w:rPr>
      </w:pPr>
      <w:r>
        <w:rPr>
          <w:rFonts w:hint="eastAsia" w:ascii="仿宋_GB2312" w:eastAsia="仿宋_GB2312"/>
        </w:rPr>
        <w:t>构建可信身份体系、鉴权体系及行为追溯体系。通过建立集中式的统一应用安全支撑平台，为各类用户提供各种不同级别的安全保障与服务。业务流程中提供各类操作痕迹的审计追踪功能，确保每个关键的操作行为都能记录在案，为操作日志提供完备的审计功能，确保数据安全、操作安全，实现信息系统的可信、可控、可管。</w:t>
      </w:r>
    </w:p>
    <w:p w14:paraId="405B0E7F">
      <w:pPr>
        <w:rPr>
          <w:rFonts w:ascii="仿宋_GB2312" w:eastAsia="仿宋_GB2312"/>
        </w:rPr>
      </w:pPr>
    </w:p>
    <w:p w14:paraId="47633EFE">
      <w:pPr>
        <w:pStyle w:val="3"/>
        <w:numPr>
          <w:ilvl w:val="1"/>
          <w:numId w:val="0"/>
        </w:numPr>
        <w:snapToGrid w:val="0"/>
        <w:spacing w:before="0" w:line="360" w:lineRule="auto"/>
        <w:jc w:val="both"/>
        <w:rPr>
          <w:rFonts w:ascii="仿宋_GB2312" w:eastAsia="仿宋_GB2312"/>
          <w:b/>
          <w:kern w:val="0"/>
          <w:sz w:val="36"/>
        </w:rPr>
      </w:pPr>
      <w:bookmarkStart w:id="17" w:name="_Toc24485"/>
      <w:r>
        <w:rPr>
          <w:rFonts w:hint="eastAsia" w:ascii="仿宋_GB2312" w:hAnsi="黑体" w:eastAsia="仿宋_GB2312"/>
          <w:b/>
          <w:kern w:val="0"/>
          <w:sz w:val="36"/>
        </w:rPr>
        <w:t>六、总体技术要求</w:t>
      </w:r>
      <w:bookmarkEnd w:id="17"/>
    </w:p>
    <w:p w14:paraId="47EB08A1">
      <w:pPr>
        <w:pStyle w:val="76"/>
        <w:spacing w:beforeLines="0" w:afterLines="0"/>
        <w:rPr>
          <w:rFonts w:ascii="仿宋_GB2312" w:eastAsia="仿宋_GB2312"/>
        </w:rPr>
      </w:pPr>
      <w:r>
        <w:rPr>
          <w:rFonts w:hint="eastAsia" w:ascii="仿宋_GB2312" w:eastAsia="仿宋_GB2312"/>
        </w:rPr>
        <w:t>建立区级一体化系统，统一业务操作流程和业务操作规范，底层基础数据字典遵循《财政业务基础数据规范（江苏扩充部分）》，运用Portal技术实现各业务应用系统的交互界面，同时考虑电子政务建设的基本思想，来描述整个系统中各组成部分及其相互关系，把复杂的大系统抽象成各子系统，从基本系统特征、要求构成入手，构造总体结构，分析各子系统之间相互关系，从而为各子系统的软件设计把握整体方向。</w:t>
      </w:r>
    </w:p>
    <w:p w14:paraId="0DE09486">
      <w:pPr>
        <w:pStyle w:val="76"/>
        <w:spacing w:beforeLines="0" w:afterLines="0"/>
        <w:rPr>
          <w:rFonts w:ascii="仿宋_GB2312" w:eastAsia="仿宋_GB2312"/>
        </w:rPr>
      </w:pPr>
      <w:r>
        <w:rPr>
          <w:rFonts w:hint="eastAsia" w:ascii="仿宋_GB2312" w:eastAsia="仿宋_GB2312"/>
        </w:rPr>
        <w:t>在财政数据信息交互方面，实现财政内部各业务和系统之间、财政与同级预算单位之间信息交互和数据共享。系统要符合我区级财政业务要求。</w:t>
      </w:r>
    </w:p>
    <w:p w14:paraId="2F0B4728">
      <w:pPr>
        <w:pStyle w:val="76"/>
        <w:spacing w:beforeLines="0" w:afterLines="0"/>
        <w:rPr>
          <w:rFonts w:ascii="仿宋_GB2312" w:eastAsia="仿宋_GB2312"/>
        </w:rPr>
      </w:pPr>
      <w:r>
        <w:rPr>
          <w:rFonts w:hint="eastAsia" w:ascii="仿宋_GB2312" w:eastAsia="仿宋_GB2312"/>
        </w:rPr>
        <w:t>系统实现基于J2EE平台体系的三层技术架构，采用C／S/S应用模式，中间件采用</w:t>
      </w:r>
      <w:r>
        <w:rPr>
          <w:rFonts w:ascii="仿宋_GB2312" w:eastAsia="仿宋_GB2312"/>
        </w:rPr>
        <w:t>Tomcat</w:t>
      </w:r>
      <w:r>
        <w:rPr>
          <w:rFonts w:hint="eastAsia" w:ascii="仿宋_GB2312" w:eastAsia="仿宋_GB2312"/>
        </w:rPr>
        <w:t>，后台数据库采用Oracle，客户端使用IE6及以上版本浏览器，与银行的数据交换采用Socket。</w:t>
      </w:r>
    </w:p>
    <w:p w14:paraId="5D23D892">
      <w:pPr>
        <w:pStyle w:val="76"/>
        <w:spacing w:beforeLines="0" w:afterLines="0"/>
        <w:rPr>
          <w:rFonts w:ascii="仿宋_GB2312" w:eastAsia="仿宋_GB2312"/>
          <w:bCs/>
        </w:rPr>
      </w:pPr>
      <w:r>
        <w:rPr>
          <w:rFonts w:hint="eastAsia" w:ascii="仿宋_GB2312" w:eastAsia="仿宋_GB2312"/>
          <w:bCs/>
        </w:rPr>
        <w:t>1.1运行环境要求</w:t>
      </w:r>
    </w:p>
    <w:p w14:paraId="6FE9FB48">
      <w:pPr>
        <w:pStyle w:val="74"/>
        <w:rPr>
          <w:rFonts w:ascii="仿宋_GB2312" w:eastAsia="仿宋_GB2312"/>
        </w:rPr>
      </w:pPr>
      <w:r>
        <w:rPr>
          <w:rFonts w:hint="eastAsia" w:ascii="仿宋_GB2312" w:eastAsia="仿宋_GB2312"/>
        </w:rPr>
        <w:t>（1）、数据库环境。数据库要求为Oracle 10G；操作系统环境为Windows、Unix、Linux等。</w:t>
      </w:r>
    </w:p>
    <w:p w14:paraId="75C5D2B4">
      <w:pPr>
        <w:pStyle w:val="74"/>
        <w:rPr>
          <w:rFonts w:ascii="仿宋_GB2312" w:eastAsia="仿宋_GB2312"/>
        </w:rPr>
      </w:pPr>
      <w:r>
        <w:rPr>
          <w:rFonts w:hint="eastAsia" w:ascii="仿宋_GB2312" w:eastAsia="仿宋_GB2312"/>
        </w:rPr>
        <w:t>（2）、web服务器环境。web应用服务要求为</w:t>
      </w:r>
      <w:r>
        <w:rPr>
          <w:rFonts w:ascii="仿宋_GB2312" w:eastAsia="仿宋_GB2312"/>
        </w:rPr>
        <w:t>Tomcat</w:t>
      </w:r>
      <w:r>
        <w:rPr>
          <w:rFonts w:hint="eastAsia" w:ascii="仿宋_GB2312" w:eastAsia="仿宋_GB2312"/>
        </w:rPr>
        <w:t>；操作系统环境为Windows。</w:t>
      </w:r>
    </w:p>
    <w:p w14:paraId="4D37F9F9">
      <w:pPr>
        <w:pStyle w:val="74"/>
        <w:rPr>
          <w:rFonts w:ascii="仿宋_GB2312" w:eastAsia="仿宋_GB2312"/>
        </w:rPr>
      </w:pPr>
      <w:r>
        <w:rPr>
          <w:rFonts w:hint="eastAsia" w:ascii="仿宋_GB2312" w:eastAsia="仿宋_GB2312"/>
        </w:rPr>
        <w:t>（3）、外部数据交换软件。使用Socket; 操作系统环境可以是Windows或Linux。</w:t>
      </w:r>
    </w:p>
    <w:p w14:paraId="0655CBF5">
      <w:pPr>
        <w:pStyle w:val="74"/>
        <w:rPr>
          <w:rFonts w:ascii="仿宋_GB2312" w:eastAsia="仿宋_GB2312"/>
        </w:rPr>
      </w:pPr>
      <w:r>
        <w:rPr>
          <w:rFonts w:hint="eastAsia" w:ascii="仿宋_GB2312" w:eastAsia="仿宋_GB2312"/>
        </w:rPr>
        <w:t>（4）、客户端环境。操作系统要求为WindowsXP及以上版本；浏览器为IE 6.0及以上版本。</w:t>
      </w:r>
    </w:p>
    <w:p w14:paraId="7692CDF0">
      <w:pPr>
        <w:pStyle w:val="74"/>
        <w:rPr>
          <w:rFonts w:ascii="仿宋_GB2312" w:eastAsia="仿宋_GB2312"/>
          <w:bCs/>
        </w:rPr>
      </w:pPr>
      <w:bookmarkStart w:id="18" w:name="_Toc362356700"/>
      <w:r>
        <w:rPr>
          <w:rFonts w:hint="eastAsia" w:ascii="仿宋_GB2312" w:eastAsia="仿宋_GB2312"/>
          <w:bCs/>
        </w:rPr>
        <w:t>性能要求</w:t>
      </w:r>
      <w:bookmarkEnd w:id="18"/>
    </w:p>
    <w:p w14:paraId="7BD1276A">
      <w:pPr>
        <w:pStyle w:val="74"/>
        <w:rPr>
          <w:rFonts w:ascii="仿宋_GB2312" w:eastAsia="仿宋_GB2312"/>
        </w:rPr>
      </w:pPr>
      <w:r>
        <w:rPr>
          <w:rFonts w:hint="eastAsia" w:ascii="仿宋_GB2312" w:eastAsia="仿宋_GB2312"/>
        </w:rPr>
        <w:t>响应时间应是即时（≤1秒）的，高峰期最大响应时间小于5秒。</w:t>
      </w:r>
    </w:p>
    <w:p w14:paraId="5450E704">
      <w:pPr>
        <w:pStyle w:val="74"/>
        <w:rPr>
          <w:rFonts w:ascii="仿宋_GB2312" w:eastAsia="仿宋_GB2312"/>
        </w:rPr>
      </w:pPr>
      <w:r>
        <w:rPr>
          <w:rFonts w:hint="eastAsia" w:ascii="仿宋_GB2312" w:eastAsia="仿宋_GB2312"/>
        </w:rPr>
        <w:t>事务处理平均3秒。</w:t>
      </w:r>
    </w:p>
    <w:p w14:paraId="7B302864">
      <w:pPr>
        <w:pStyle w:val="74"/>
        <w:rPr>
          <w:rFonts w:ascii="仿宋_GB2312" w:eastAsia="仿宋_GB2312"/>
        </w:rPr>
      </w:pPr>
      <w:r>
        <w:rPr>
          <w:rFonts w:hint="eastAsia" w:ascii="仿宋_GB2312" w:eastAsia="仿宋_GB2312"/>
        </w:rPr>
        <w:t>普通应用查询平均3秒。</w:t>
      </w:r>
    </w:p>
    <w:p w14:paraId="65786E59">
      <w:pPr>
        <w:pStyle w:val="74"/>
        <w:rPr>
          <w:rFonts w:ascii="仿宋_GB2312" w:eastAsia="仿宋_GB2312"/>
        </w:rPr>
      </w:pPr>
      <w:r>
        <w:rPr>
          <w:rFonts w:hint="eastAsia" w:ascii="仿宋_GB2312" w:eastAsia="仿宋_GB2312"/>
        </w:rPr>
        <w:t>统计分析类查询平均5秒。</w:t>
      </w:r>
    </w:p>
    <w:p w14:paraId="0E12BACE">
      <w:pPr>
        <w:pStyle w:val="74"/>
        <w:rPr>
          <w:rFonts w:ascii="仿宋_GB2312" w:eastAsia="仿宋_GB2312"/>
        </w:rPr>
      </w:pPr>
      <w:r>
        <w:rPr>
          <w:rFonts w:hint="eastAsia" w:ascii="仿宋_GB2312" w:eastAsia="仿宋_GB2312"/>
        </w:rPr>
        <w:t>支持日常300用户以上同时在线交易。</w:t>
      </w:r>
    </w:p>
    <w:p w14:paraId="2D323ED0">
      <w:pPr>
        <w:pStyle w:val="74"/>
        <w:rPr>
          <w:rFonts w:ascii="仿宋_GB2312" w:eastAsia="仿宋_GB2312"/>
        </w:rPr>
      </w:pPr>
      <w:r>
        <w:rPr>
          <w:rFonts w:hint="eastAsia" w:ascii="仿宋_GB2312" w:eastAsia="仿宋_GB2312"/>
        </w:rPr>
        <w:t>吞吐量（每月交易量、数据量、高峰期每日交易量、数据量）在保证性能的前提下，系统设计能够满足未来五年的交易高峰量。</w:t>
      </w:r>
    </w:p>
    <w:p w14:paraId="04F61DF8">
      <w:pPr>
        <w:pStyle w:val="74"/>
        <w:rPr>
          <w:rFonts w:ascii="仿宋_GB2312" w:eastAsia="仿宋_GB2312"/>
          <w:bCs/>
        </w:rPr>
      </w:pPr>
      <w:bookmarkStart w:id="19" w:name="_Toc362356701"/>
      <w:r>
        <w:rPr>
          <w:rFonts w:hint="eastAsia" w:ascii="仿宋_GB2312" w:eastAsia="仿宋_GB2312"/>
          <w:bCs/>
        </w:rPr>
        <w:t>技术要求</w:t>
      </w:r>
      <w:bookmarkEnd w:id="19"/>
    </w:p>
    <w:p w14:paraId="0CF43BFB">
      <w:pPr>
        <w:pStyle w:val="74"/>
        <w:rPr>
          <w:rFonts w:ascii="仿宋_GB2312" w:eastAsia="仿宋_GB2312"/>
        </w:rPr>
      </w:pPr>
      <w:r>
        <w:rPr>
          <w:rFonts w:hint="eastAsia" w:ascii="仿宋_GB2312" w:eastAsia="仿宋_GB2312"/>
        </w:rPr>
        <w:t>遵从“金财工程”建设原则，确保系统的安全、可靠、稳定。</w:t>
      </w:r>
      <w:bookmarkStart w:id="20" w:name="_Toc362356702"/>
    </w:p>
    <w:p w14:paraId="59189713">
      <w:pPr>
        <w:pStyle w:val="5"/>
        <w:widowControl/>
        <w:spacing w:before="0" w:line="360" w:lineRule="auto"/>
        <w:ind w:left="412" w:leftChars="196"/>
        <w:jc w:val="left"/>
        <w:rPr>
          <w:rFonts w:ascii="仿宋_GB2312" w:eastAsia="仿宋_GB2312"/>
          <w:sz w:val="24"/>
          <w:szCs w:val="28"/>
        </w:rPr>
      </w:pPr>
      <w:bookmarkStart w:id="21" w:name="_Toc24423"/>
      <w:r>
        <w:rPr>
          <w:rFonts w:hint="eastAsia" w:ascii="仿宋_GB2312" w:eastAsia="仿宋_GB2312"/>
          <w:sz w:val="24"/>
          <w:szCs w:val="28"/>
        </w:rPr>
        <w:t>流程可定义</w:t>
      </w:r>
      <w:bookmarkEnd w:id="20"/>
      <w:bookmarkEnd w:id="21"/>
    </w:p>
    <w:p w14:paraId="619A93B1">
      <w:pPr>
        <w:snapToGrid w:val="0"/>
        <w:spacing w:line="360" w:lineRule="auto"/>
        <w:ind w:firstLine="480" w:firstLineChars="200"/>
        <w:jc w:val="left"/>
        <w:rPr>
          <w:rFonts w:ascii="仿宋_GB2312" w:eastAsia="仿宋_GB2312" w:cs="宋体"/>
          <w:sz w:val="24"/>
        </w:rPr>
      </w:pPr>
      <w:r>
        <w:rPr>
          <w:rFonts w:hint="eastAsia" w:ascii="仿宋_GB2312" w:hAnsi="宋体" w:eastAsia="仿宋_GB2312" w:cs="宋体"/>
          <w:sz w:val="24"/>
        </w:rPr>
        <w:t>在业务流程实现上，采用工作流技术，对财政业务处理、审核审批流程及其各操作步骤进行抽象、概括、描述。支持动态业务流程建模，运用工作流管理系统（WFMS）去定义、执行和管理工作流，协调工作流执行过程中工作之间以及群体成员之间的信息交互。</w:t>
      </w:r>
    </w:p>
    <w:p w14:paraId="6A746B75">
      <w:pPr>
        <w:snapToGrid w:val="0"/>
        <w:spacing w:line="360" w:lineRule="auto"/>
        <w:ind w:firstLine="480" w:firstLineChars="200"/>
        <w:jc w:val="left"/>
        <w:rPr>
          <w:rFonts w:ascii="仿宋_GB2312" w:eastAsia="仿宋_GB2312" w:cs="宋体"/>
          <w:sz w:val="24"/>
        </w:rPr>
      </w:pPr>
      <w:r>
        <w:rPr>
          <w:rFonts w:hint="eastAsia" w:ascii="仿宋_GB2312" w:hAnsi="宋体" w:eastAsia="仿宋_GB2312" w:cs="宋体"/>
          <w:sz w:val="24"/>
        </w:rPr>
        <w:t>能实现对工作流模型的定义和维护，不仅支持顺序流程的流转，而且要支持分支、并行、子过程等，在分支上可以定义条件，实现按条件自动流转，支持自动业务办理，可实现图形化拖曳式流程配置。支持业务规则与业务流程相独立，能动态实现业务规则的制定和共享。支持单据审批流程的图形化跟踪功能。</w:t>
      </w:r>
    </w:p>
    <w:p w14:paraId="1D43341B">
      <w:pPr>
        <w:pStyle w:val="5"/>
        <w:widowControl/>
        <w:spacing w:before="0" w:line="360" w:lineRule="auto"/>
        <w:ind w:left="412" w:leftChars="196"/>
        <w:jc w:val="left"/>
        <w:rPr>
          <w:rFonts w:ascii="仿宋_GB2312" w:eastAsia="仿宋_GB2312"/>
          <w:sz w:val="24"/>
          <w:szCs w:val="28"/>
        </w:rPr>
      </w:pPr>
      <w:bookmarkStart w:id="22" w:name="_Toc362356703"/>
      <w:bookmarkStart w:id="23" w:name="_Toc23248"/>
      <w:r>
        <w:rPr>
          <w:rFonts w:hint="eastAsia" w:ascii="仿宋_GB2312" w:eastAsia="仿宋_GB2312"/>
          <w:sz w:val="24"/>
          <w:szCs w:val="28"/>
        </w:rPr>
        <w:t>业务可配置</w:t>
      </w:r>
      <w:bookmarkEnd w:id="22"/>
      <w:bookmarkEnd w:id="23"/>
    </w:p>
    <w:p w14:paraId="3EA3E887">
      <w:pPr>
        <w:snapToGrid w:val="0"/>
        <w:spacing w:line="360" w:lineRule="auto"/>
        <w:ind w:firstLine="480" w:firstLineChars="200"/>
        <w:jc w:val="left"/>
        <w:rPr>
          <w:rFonts w:ascii="仿宋_GB2312" w:eastAsia="仿宋_GB2312" w:cs="宋体"/>
          <w:sz w:val="24"/>
        </w:rPr>
      </w:pPr>
      <w:r>
        <w:rPr>
          <w:rFonts w:hint="eastAsia" w:ascii="仿宋_GB2312" w:hAnsi="宋体" w:eastAsia="仿宋_GB2312" w:cs="宋体"/>
          <w:sz w:val="24"/>
        </w:rPr>
        <w:t>将业务框架、业务功能进行抽象，采用组件化和参数化设计方法构建业务功能模块。系统应提供业务逻辑在线定制，实现系统应用过程中对用户需求变化的适应性；可根据实际情况对功能进行灵活调整而无需修改程序；提供参数配置工具以调整系统参数、算法、规则等；提供主要业务单据要素自定义功能，可通过系统定制功能实现单据某些要素的启用或关闭等。</w:t>
      </w:r>
    </w:p>
    <w:p w14:paraId="5B3E1421">
      <w:pPr>
        <w:pStyle w:val="5"/>
        <w:widowControl/>
        <w:spacing w:before="0" w:line="360" w:lineRule="auto"/>
        <w:ind w:left="412" w:leftChars="196"/>
        <w:jc w:val="left"/>
        <w:rPr>
          <w:rFonts w:ascii="仿宋_GB2312" w:eastAsia="仿宋_GB2312"/>
          <w:sz w:val="24"/>
          <w:szCs w:val="28"/>
        </w:rPr>
      </w:pPr>
      <w:bookmarkStart w:id="24" w:name="_Toc362356704"/>
      <w:bookmarkStart w:id="25" w:name="_Toc3767"/>
      <w:r>
        <w:rPr>
          <w:rFonts w:hint="eastAsia" w:ascii="仿宋_GB2312" w:eastAsia="仿宋_GB2312"/>
          <w:sz w:val="24"/>
          <w:szCs w:val="28"/>
        </w:rPr>
        <w:t>建立信息安全保障体系</w:t>
      </w:r>
      <w:bookmarkEnd w:id="24"/>
      <w:bookmarkEnd w:id="25"/>
    </w:p>
    <w:p w14:paraId="0E75D3CF">
      <w:pPr>
        <w:snapToGrid w:val="0"/>
        <w:spacing w:line="360" w:lineRule="auto"/>
        <w:ind w:firstLine="480" w:firstLineChars="200"/>
        <w:jc w:val="left"/>
        <w:rPr>
          <w:rFonts w:ascii="仿宋_GB2312" w:eastAsia="仿宋_GB2312" w:cs="宋体"/>
          <w:sz w:val="24"/>
        </w:rPr>
      </w:pPr>
      <w:r>
        <w:rPr>
          <w:rFonts w:hint="eastAsia" w:ascii="仿宋_GB2312" w:hAnsi="宋体" w:eastAsia="仿宋_GB2312" w:cs="宋体"/>
          <w:sz w:val="24"/>
        </w:rPr>
        <w:t>保障财政信息系统安全，规范和加强以身份认证、授权管理、责任认定等为主要内容的信息安全体系建设。必须达到以下三个要求：</w:t>
      </w:r>
    </w:p>
    <w:p w14:paraId="64371E5B">
      <w:pPr>
        <w:snapToGrid w:val="0"/>
        <w:spacing w:line="360" w:lineRule="auto"/>
        <w:ind w:firstLine="480" w:firstLineChars="200"/>
        <w:jc w:val="left"/>
        <w:rPr>
          <w:rFonts w:ascii="仿宋_GB2312" w:eastAsia="仿宋_GB2312" w:cs="宋体"/>
          <w:sz w:val="24"/>
        </w:rPr>
      </w:pPr>
      <w:r>
        <w:rPr>
          <w:rFonts w:hint="eastAsia" w:ascii="仿宋_GB2312" w:hAnsi="宋体" w:eastAsia="仿宋_GB2312" w:cs="宋体"/>
          <w:sz w:val="24"/>
        </w:rPr>
        <w:t>（1） 确保资金运行安全</w:t>
      </w:r>
    </w:p>
    <w:p w14:paraId="44DACAF1">
      <w:pPr>
        <w:snapToGrid w:val="0"/>
        <w:spacing w:line="360" w:lineRule="auto"/>
        <w:ind w:firstLine="480" w:firstLineChars="200"/>
        <w:jc w:val="left"/>
        <w:rPr>
          <w:rFonts w:ascii="仿宋_GB2312" w:eastAsia="仿宋_GB2312" w:cs="宋体"/>
          <w:sz w:val="24"/>
        </w:rPr>
      </w:pPr>
      <w:r>
        <w:rPr>
          <w:rFonts w:hint="eastAsia" w:ascii="仿宋_GB2312" w:hAnsi="宋体" w:eastAsia="仿宋_GB2312" w:cs="宋体"/>
          <w:sz w:val="24"/>
        </w:rPr>
        <w:t>系统要通过设置合理的审批环节，层层严格控制把关，保证财政性资金按照法定科目、用途、支出口径和方向进行预算合理编制及资金安全使用。</w:t>
      </w:r>
    </w:p>
    <w:p w14:paraId="2A7E1538">
      <w:pPr>
        <w:snapToGrid w:val="0"/>
        <w:spacing w:line="360" w:lineRule="auto"/>
        <w:ind w:firstLine="480" w:firstLineChars="200"/>
        <w:jc w:val="left"/>
        <w:rPr>
          <w:rFonts w:ascii="仿宋_GB2312" w:eastAsia="仿宋_GB2312" w:cs="宋体"/>
          <w:sz w:val="24"/>
        </w:rPr>
      </w:pPr>
      <w:r>
        <w:rPr>
          <w:rFonts w:hint="eastAsia" w:ascii="仿宋_GB2312" w:hAnsi="宋体" w:eastAsia="仿宋_GB2312" w:cs="宋体"/>
          <w:sz w:val="24"/>
        </w:rPr>
        <w:t>（2） 确保系统权限安全</w:t>
      </w:r>
    </w:p>
    <w:p w14:paraId="3D5ADCE3">
      <w:pPr>
        <w:snapToGrid w:val="0"/>
        <w:spacing w:line="360" w:lineRule="auto"/>
        <w:ind w:firstLine="480" w:firstLineChars="200"/>
        <w:jc w:val="left"/>
        <w:rPr>
          <w:rFonts w:ascii="仿宋_GB2312" w:eastAsia="仿宋_GB2312" w:cs="宋体"/>
          <w:sz w:val="24"/>
        </w:rPr>
      </w:pPr>
      <w:r>
        <w:rPr>
          <w:rFonts w:hint="eastAsia" w:ascii="仿宋_GB2312" w:hAnsi="宋体" w:eastAsia="仿宋_GB2312" w:cs="宋体"/>
          <w:sz w:val="24"/>
        </w:rPr>
        <w:t>系统要有严格的权限授权和级次控制机制，确保系统用户只能在规定的岗位上操作规定的业务环节和浏览规定的业务数据。</w:t>
      </w:r>
    </w:p>
    <w:p w14:paraId="5853796A">
      <w:pPr>
        <w:snapToGrid w:val="0"/>
        <w:spacing w:line="360" w:lineRule="auto"/>
        <w:ind w:firstLine="480" w:firstLineChars="200"/>
        <w:jc w:val="left"/>
        <w:rPr>
          <w:rFonts w:ascii="仿宋_GB2312" w:eastAsia="仿宋_GB2312" w:cs="宋体"/>
          <w:sz w:val="24"/>
        </w:rPr>
      </w:pPr>
      <w:r>
        <w:rPr>
          <w:rFonts w:hint="eastAsia" w:ascii="仿宋_GB2312" w:hAnsi="宋体" w:eastAsia="仿宋_GB2312" w:cs="宋体"/>
          <w:sz w:val="24"/>
        </w:rPr>
        <w:t>（3） 确保系统数据安全</w:t>
      </w:r>
    </w:p>
    <w:p w14:paraId="0E5F3BC7">
      <w:pPr>
        <w:snapToGrid w:val="0"/>
        <w:spacing w:line="360" w:lineRule="auto"/>
        <w:ind w:firstLine="480" w:firstLineChars="200"/>
        <w:jc w:val="left"/>
        <w:rPr>
          <w:rFonts w:ascii="仿宋_GB2312" w:eastAsia="仿宋_GB2312" w:cs="宋体"/>
          <w:sz w:val="24"/>
        </w:rPr>
      </w:pPr>
      <w:r>
        <w:rPr>
          <w:rFonts w:hint="eastAsia" w:ascii="仿宋_GB2312" w:hAnsi="宋体" w:eastAsia="仿宋_GB2312" w:cs="宋体"/>
          <w:sz w:val="24"/>
        </w:rPr>
        <w:t>系统要有严密的数据加密体系和安全访问控制体系，以确保系统运行中的数据安全。保证不会因系统自身的错误而使数据遭受破坏或被非法获取。</w:t>
      </w:r>
    </w:p>
    <w:p w14:paraId="4CE142DF">
      <w:pPr>
        <w:snapToGrid w:val="0"/>
        <w:spacing w:line="360" w:lineRule="auto"/>
        <w:ind w:firstLine="480" w:firstLineChars="200"/>
        <w:jc w:val="left"/>
        <w:rPr>
          <w:rFonts w:ascii="仿宋_GB2312" w:eastAsia="仿宋_GB2312" w:cs="宋体"/>
          <w:sz w:val="24"/>
        </w:rPr>
      </w:pPr>
      <w:r>
        <w:rPr>
          <w:rFonts w:hint="eastAsia" w:ascii="仿宋_GB2312" w:hAnsi="宋体" w:eastAsia="仿宋_GB2312" w:cs="宋体"/>
          <w:sz w:val="24"/>
        </w:rPr>
        <w:t xml:space="preserve">构建可信身份体系、鉴权体系及行为追溯体系。通过建立系统安全体系，以PKI/PMI技术为基础的实现用户CA身份验证、数字签名、电子签章等，为各类用户提供各种不同级别的安全保障与服务。业务流程中提供各类操作痕迹的审计追踪功能，确保每个关键的操作行为都能记录在案，为操作日志提供完备的审计功能，确保数据安全、操作安全，实现信息系统的可信、可控、可管。 </w:t>
      </w:r>
    </w:p>
    <w:p w14:paraId="4C80B86A">
      <w:pPr>
        <w:pStyle w:val="5"/>
        <w:widowControl/>
        <w:spacing w:before="0" w:line="360" w:lineRule="auto"/>
        <w:ind w:left="412" w:leftChars="196"/>
        <w:jc w:val="left"/>
        <w:rPr>
          <w:rFonts w:ascii="仿宋_GB2312" w:eastAsia="仿宋_GB2312"/>
          <w:sz w:val="24"/>
          <w:szCs w:val="28"/>
        </w:rPr>
      </w:pPr>
      <w:bookmarkStart w:id="26" w:name="_Toc362356705"/>
      <w:bookmarkStart w:id="27" w:name="_Toc32272"/>
      <w:r>
        <w:rPr>
          <w:rFonts w:hint="eastAsia" w:ascii="仿宋_GB2312" w:eastAsia="仿宋_GB2312"/>
          <w:sz w:val="24"/>
          <w:szCs w:val="28"/>
        </w:rPr>
        <w:t>采用界面原型设计工具</w:t>
      </w:r>
      <w:bookmarkEnd w:id="26"/>
      <w:bookmarkEnd w:id="27"/>
    </w:p>
    <w:p w14:paraId="2F7910A6">
      <w:pPr>
        <w:snapToGrid w:val="0"/>
        <w:spacing w:line="360" w:lineRule="auto"/>
        <w:ind w:firstLine="480" w:firstLineChars="200"/>
        <w:jc w:val="left"/>
        <w:rPr>
          <w:rFonts w:ascii="仿宋_GB2312" w:eastAsia="仿宋_GB2312" w:cs="宋体"/>
          <w:sz w:val="24"/>
        </w:rPr>
      </w:pPr>
      <w:r>
        <w:rPr>
          <w:rFonts w:hint="eastAsia" w:ascii="仿宋_GB2312" w:hAnsi="宋体" w:eastAsia="仿宋_GB2312" w:cs="宋体"/>
          <w:sz w:val="24"/>
        </w:rPr>
        <w:t>用户界面设计采用优秀的原型设计工具来模拟，快速搭建软件系统的高保真原型，便于用户沟通、确认。界面原型确认后进入软件代码编程开发。</w:t>
      </w:r>
    </w:p>
    <w:p w14:paraId="5E6D3C13">
      <w:pPr>
        <w:snapToGrid w:val="0"/>
        <w:spacing w:line="360" w:lineRule="auto"/>
        <w:ind w:firstLine="480" w:firstLineChars="200"/>
        <w:jc w:val="left"/>
        <w:rPr>
          <w:rFonts w:ascii="仿宋_GB2312" w:eastAsia="仿宋_GB2312"/>
          <w:sz w:val="24"/>
        </w:rPr>
      </w:pPr>
      <w:r>
        <w:rPr>
          <w:rFonts w:hint="eastAsia" w:ascii="仿宋_GB2312" w:hAnsi="宋体" w:eastAsia="仿宋_GB2312" w:cs="宋体"/>
          <w:sz w:val="24"/>
        </w:rPr>
        <w:t>整个系统各功能模块界面风格一致，界面友善、操作简捷，符合人性化设计；业务表单尽量做到所见即所得；操作出现错误的提示信息采用业务用语描述；提供详细完整的在线用户使用指南，有上下文相关的帮助、提示信息等。</w:t>
      </w:r>
    </w:p>
    <w:p w14:paraId="48545A30">
      <w:pPr>
        <w:pStyle w:val="3"/>
        <w:numPr>
          <w:ilvl w:val="1"/>
          <w:numId w:val="0"/>
        </w:numPr>
        <w:snapToGrid w:val="0"/>
        <w:spacing w:before="0" w:line="360" w:lineRule="auto"/>
        <w:jc w:val="both"/>
        <w:rPr>
          <w:rFonts w:ascii="仿宋_GB2312" w:eastAsia="仿宋_GB2312"/>
          <w:b/>
          <w:bCs/>
          <w:sz w:val="24"/>
          <w:szCs w:val="24"/>
        </w:rPr>
      </w:pPr>
      <w:bookmarkStart w:id="28" w:name="_Toc362356708"/>
      <w:r>
        <w:rPr>
          <w:rFonts w:hint="eastAsia" w:ascii="仿宋_GB2312" w:hAnsi="黑体" w:eastAsia="仿宋_GB2312"/>
          <w:b/>
          <w:kern w:val="0"/>
          <w:sz w:val="36"/>
        </w:rPr>
        <w:t>七、其他有关要求</w:t>
      </w:r>
      <w:bookmarkEnd w:id="28"/>
    </w:p>
    <w:p w14:paraId="116F1C07">
      <w:pPr>
        <w:tabs>
          <w:tab w:val="left" w:pos="2646"/>
        </w:tabs>
        <w:spacing w:line="360" w:lineRule="auto"/>
        <w:ind w:left="420"/>
        <w:rPr>
          <w:rFonts w:ascii="仿宋_GB2312" w:eastAsia="仿宋_GB2312" w:cs="宋体"/>
          <w:b/>
          <w:sz w:val="24"/>
        </w:rPr>
      </w:pPr>
      <w:bookmarkStart w:id="29" w:name="_Toc362356709"/>
      <w:r>
        <w:rPr>
          <w:rFonts w:hint="eastAsia" w:ascii="仿宋_GB2312" w:hAnsi="宋体" w:eastAsia="仿宋_GB2312" w:cs="宋体"/>
          <w:b/>
          <w:sz w:val="24"/>
        </w:rPr>
        <w:t>7.1完工期</w:t>
      </w:r>
      <w:bookmarkEnd w:id="29"/>
      <w:r>
        <w:rPr>
          <w:rFonts w:hint="eastAsia" w:ascii="仿宋_GB2312" w:eastAsia="仿宋_GB2312" w:cs="宋体"/>
          <w:b/>
          <w:sz w:val="24"/>
        </w:rPr>
        <w:tab/>
      </w:r>
    </w:p>
    <w:p w14:paraId="5791B726">
      <w:pPr>
        <w:snapToGrid w:val="0"/>
        <w:spacing w:line="360" w:lineRule="auto"/>
        <w:ind w:firstLine="480" w:firstLineChars="200"/>
        <w:jc w:val="left"/>
        <w:rPr>
          <w:rFonts w:ascii="仿宋_GB2312" w:eastAsia="仿宋_GB2312"/>
          <w:sz w:val="24"/>
        </w:rPr>
      </w:pPr>
      <w:r>
        <w:rPr>
          <w:rFonts w:hint="eastAsia" w:ascii="仿宋_GB2312" w:hAnsi="宋体" w:eastAsia="仿宋_GB2312" w:cs="宋体"/>
          <w:sz w:val="24"/>
        </w:rPr>
        <w:t>（1）自合同生效之日起，中标供应商的需求分析小组须在 1个月内完成所有业务需求分析。</w:t>
      </w:r>
    </w:p>
    <w:p w14:paraId="02DD2E1C">
      <w:pPr>
        <w:spacing w:line="360" w:lineRule="auto"/>
        <w:ind w:firstLine="470" w:firstLineChars="196"/>
        <w:rPr>
          <w:rFonts w:ascii="仿宋_GB2312" w:eastAsia="仿宋_GB2312"/>
          <w:sz w:val="24"/>
        </w:rPr>
      </w:pPr>
      <w:r>
        <w:rPr>
          <w:rFonts w:hint="eastAsia" w:ascii="仿宋_GB2312" w:hAnsi="宋体" w:eastAsia="仿宋_GB2312" w:cs="宋体"/>
          <w:sz w:val="24"/>
        </w:rPr>
        <w:t>（2）自合同生效之日起，中标供应商须按以下进度完成阶段开发工作：</w:t>
      </w:r>
    </w:p>
    <w:p w14:paraId="1CA2C679">
      <w:pPr>
        <w:spacing w:line="360" w:lineRule="auto"/>
        <w:ind w:firstLine="470" w:firstLineChars="196"/>
        <w:rPr>
          <w:rFonts w:ascii="仿宋_GB2312" w:hAnsi="宋体" w:eastAsia="仿宋_GB2312" w:cs="宋体"/>
          <w:sz w:val="24"/>
        </w:rPr>
      </w:pPr>
      <w:r>
        <w:rPr>
          <w:rFonts w:hint="eastAsia" w:ascii="仿宋_GB2312" w:hAnsi="宋体" w:eastAsia="仿宋_GB2312" w:cs="宋体"/>
          <w:sz w:val="24"/>
        </w:rPr>
        <w:t>第一阶段（合同生效之日-2015年12月底），完成区、镇财政应用支撑平台建设，完成“预算编审”、“预算执行”、“工资统发”、“非税管理”四大业务系统的开发、升级、调试、实施。</w:t>
      </w:r>
    </w:p>
    <w:p w14:paraId="0E60AB58">
      <w:pPr>
        <w:spacing w:line="360" w:lineRule="auto"/>
        <w:ind w:firstLine="470" w:firstLineChars="196"/>
        <w:rPr>
          <w:rFonts w:ascii="仿宋_GB2312" w:hAnsi="宋体" w:eastAsia="仿宋_GB2312" w:cs="宋体"/>
          <w:sz w:val="24"/>
        </w:rPr>
      </w:pPr>
      <w:r>
        <w:rPr>
          <w:rFonts w:hint="eastAsia" w:ascii="仿宋_GB2312" w:hAnsi="宋体" w:eastAsia="仿宋_GB2312" w:cs="宋体"/>
          <w:sz w:val="24"/>
        </w:rPr>
        <w:t>第二阶段（2016年1月初-2016年3月底），完成“OA办公系统”的开发、调试、实施，完成区本级和郑陆镇财政分局业务数据及财务数据的迁移、整合工作。</w:t>
      </w:r>
    </w:p>
    <w:p w14:paraId="483F3356">
      <w:pPr>
        <w:snapToGrid w:val="0"/>
        <w:spacing w:line="360" w:lineRule="auto"/>
        <w:ind w:firstLine="482" w:firstLineChars="200"/>
        <w:rPr>
          <w:rFonts w:ascii="仿宋_GB2312" w:eastAsia="仿宋_GB2312" w:cs="宋体"/>
          <w:b/>
          <w:sz w:val="24"/>
        </w:rPr>
      </w:pPr>
      <w:bookmarkStart w:id="30" w:name="_Toc362356710"/>
      <w:bookmarkStart w:id="31" w:name="_Toc362356711"/>
      <w:r>
        <w:rPr>
          <w:rFonts w:hint="eastAsia" w:ascii="仿宋_GB2312" w:hAnsi="宋体" w:eastAsia="仿宋_GB2312" w:cs="宋体"/>
          <w:b/>
          <w:sz w:val="24"/>
        </w:rPr>
        <w:t>7.2. 项目免费维护期</w:t>
      </w:r>
      <w:bookmarkEnd w:id="30"/>
    </w:p>
    <w:p w14:paraId="2BD454C4">
      <w:pPr>
        <w:snapToGrid w:val="0"/>
        <w:spacing w:line="360" w:lineRule="auto"/>
        <w:ind w:firstLine="480" w:firstLineChars="200"/>
        <w:jc w:val="left"/>
        <w:rPr>
          <w:rFonts w:ascii="仿宋_GB2312" w:eastAsia="仿宋_GB2312"/>
          <w:sz w:val="24"/>
        </w:rPr>
      </w:pPr>
      <w:r>
        <w:rPr>
          <w:rFonts w:hint="eastAsia" w:ascii="仿宋_GB2312" w:hAnsi="宋体" w:eastAsia="仿宋_GB2312" w:cs="宋体"/>
          <w:sz w:val="24"/>
        </w:rPr>
        <w:t>整体项目自验收合格之日起，提供一年免费驻点升级维护服务。免费维护服务包括：系统框架模块内的功能及流程调整，软件故障排除，补丁安装，软件重装等维护服务。质保期内，在非人为因素情况下，一切维护费用均由中标供应商免费提供。</w:t>
      </w:r>
    </w:p>
    <w:p w14:paraId="7794B2B6">
      <w:pPr>
        <w:spacing w:line="360" w:lineRule="auto"/>
        <w:ind w:left="420"/>
        <w:rPr>
          <w:rFonts w:ascii="仿宋_GB2312" w:eastAsia="仿宋_GB2312" w:cs="宋体"/>
          <w:b/>
          <w:sz w:val="24"/>
        </w:rPr>
      </w:pPr>
      <w:r>
        <w:rPr>
          <w:rFonts w:hint="eastAsia" w:ascii="仿宋_GB2312" w:hAnsi="宋体" w:eastAsia="仿宋_GB2312" w:cs="宋体"/>
          <w:b/>
          <w:sz w:val="24"/>
        </w:rPr>
        <w:t>7.3. 付款方式</w:t>
      </w:r>
      <w:bookmarkEnd w:id="31"/>
    </w:p>
    <w:p w14:paraId="79F3EF4C">
      <w:pPr>
        <w:snapToGrid w:val="0"/>
        <w:spacing w:line="360" w:lineRule="auto"/>
        <w:ind w:firstLine="480" w:firstLineChars="200"/>
        <w:jc w:val="left"/>
        <w:rPr>
          <w:rFonts w:ascii="仿宋_GB2312" w:eastAsia="仿宋_GB2312" w:cs="宋体"/>
          <w:sz w:val="24"/>
        </w:rPr>
      </w:pPr>
      <w:r>
        <w:rPr>
          <w:rFonts w:hint="eastAsia" w:ascii="仿宋_GB2312" w:hAnsi="宋体" w:eastAsia="仿宋_GB2312" w:cs="宋体"/>
          <w:sz w:val="24"/>
        </w:rPr>
        <w:t>（1）合同签订后一周内支付合同金额的30%。</w:t>
      </w:r>
    </w:p>
    <w:p w14:paraId="1A89B38F">
      <w:pPr>
        <w:snapToGrid w:val="0"/>
        <w:spacing w:line="360" w:lineRule="auto"/>
        <w:ind w:firstLine="480" w:firstLineChars="200"/>
        <w:jc w:val="left"/>
        <w:rPr>
          <w:rFonts w:ascii="仿宋_GB2312" w:eastAsia="仿宋_GB2312"/>
          <w:sz w:val="24"/>
        </w:rPr>
      </w:pPr>
      <w:r>
        <w:rPr>
          <w:rFonts w:hint="eastAsia" w:ascii="仿宋_GB2312" w:hAnsi="宋体" w:eastAsia="仿宋_GB2312" w:cs="宋体"/>
          <w:sz w:val="24"/>
        </w:rPr>
        <w:t>（2）第一阶段业务功能上线后一周内支付合同金额的20%；运行正常经验收后一周内支付合同金额的10%；</w:t>
      </w:r>
    </w:p>
    <w:p w14:paraId="6688A544">
      <w:pPr>
        <w:snapToGrid w:val="0"/>
        <w:spacing w:line="360" w:lineRule="auto"/>
        <w:ind w:firstLine="480" w:firstLineChars="200"/>
        <w:rPr>
          <w:rFonts w:ascii="仿宋_GB2312" w:eastAsia="仿宋_GB2312" w:cs="宋体"/>
          <w:sz w:val="24"/>
        </w:rPr>
      </w:pPr>
      <w:r>
        <w:rPr>
          <w:rFonts w:hint="eastAsia" w:ascii="仿宋_GB2312" w:hAnsi="宋体" w:eastAsia="仿宋_GB2312" w:cs="宋体"/>
          <w:sz w:val="24"/>
        </w:rPr>
        <w:t>（3）第二阶段业务功能上线后一周内支付合同金额的20%，运行正常经验收后一周内支付合同金额的10%；</w:t>
      </w:r>
    </w:p>
    <w:p w14:paraId="066E13EE">
      <w:pPr>
        <w:snapToGrid w:val="0"/>
        <w:spacing w:line="360" w:lineRule="auto"/>
        <w:ind w:firstLine="480" w:firstLineChars="200"/>
        <w:rPr>
          <w:rFonts w:ascii="仿宋_GB2312" w:eastAsia="仿宋_GB2312"/>
          <w:sz w:val="24"/>
        </w:rPr>
      </w:pPr>
      <w:r>
        <w:rPr>
          <w:rFonts w:hint="eastAsia" w:ascii="仿宋_GB2312" w:hAnsi="宋体" w:eastAsia="仿宋_GB2312" w:cs="宋体"/>
          <w:sz w:val="24"/>
        </w:rPr>
        <w:t>（4）免费维护服务结束后付清合同金额的10%。</w:t>
      </w:r>
    </w:p>
    <w:p w14:paraId="1572E5B1">
      <w:pPr>
        <w:spacing w:line="360" w:lineRule="auto"/>
        <w:ind w:left="420"/>
        <w:rPr>
          <w:rFonts w:ascii="仿宋_GB2312" w:eastAsia="仿宋_GB2312" w:cs="宋体"/>
          <w:b/>
          <w:sz w:val="24"/>
        </w:rPr>
      </w:pPr>
      <w:bookmarkStart w:id="32" w:name="_Toc362356723"/>
      <w:r>
        <w:rPr>
          <w:rFonts w:hint="eastAsia" w:ascii="仿宋_GB2312" w:hAnsi="宋体" w:eastAsia="仿宋_GB2312" w:cs="宋体"/>
          <w:b/>
          <w:sz w:val="24"/>
        </w:rPr>
        <w:t>7.4 服务要求</w:t>
      </w:r>
      <w:bookmarkEnd w:id="32"/>
    </w:p>
    <w:p w14:paraId="027236DD">
      <w:pPr>
        <w:spacing w:line="360" w:lineRule="auto"/>
        <w:ind w:left="420"/>
        <w:rPr>
          <w:rFonts w:ascii="仿宋_GB2312" w:eastAsia="仿宋_GB2312" w:cs="宋体"/>
          <w:b/>
          <w:sz w:val="24"/>
        </w:rPr>
      </w:pPr>
      <w:bookmarkStart w:id="33" w:name="_Toc149830749"/>
      <w:bookmarkStart w:id="34" w:name="_Toc198098349"/>
      <w:bookmarkStart w:id="35" w:name="_Toc166323649"/>
      <w:bookmarkStart w:id="36" w:name="_Toc198316246"/>
      <w:bookmarkStart w:id="37" w:name="_Toc244398223"/>
      <w:bookmarkStart w:id="38" w:name="_Toc362356724"/>
      <w:r>
        <w:rPr>
          <w:rFonts w:hint="eastAsia" w:ascii="仿宋_GB2312" w:hAnsi="宋体" w:eastAsia="仿宋_GB2312" w:cs="宋体"/>
          <w:b/>
          <w:sz w:val="24"/>
        </w:rPr>
        <w:t>7.4</w:t>
      </w:r>
      <w:r>
        <w:rPr>
          <w:rFonts w:hint="eastAsia" w:ascii="仿宋_GB2312" w:eastAsia="仿宋_GB2312" w:cs="宋体"/>
          <w:b/>
          <w:sz w:val="24"/>
        </w:rPr>
        <w:t>.</w:t>
      </w:r>
      <w:bookmarkEnd w:id="33"/>
      <w:bookmarkEnd w:id="34"/>
      <w:bookmarkEnd w:id="35"/>
      <w:bookmarkEnd w:id="36"/>
      <w:bookmarkEnd w:id="37"/>
      <w:bookmarkStart w:id="39" w:name="_Toc198316247"/>
      <w:bookmarkStart w:id="40" w:name="_Toc198098363"/>
      <w:bookmarkStart w:id="41" w:name="_Toc244398224"/>
      <w:r>
        <w:rPr>
          <w:rFonts w:hint="eastAsia" w:ascii="仿宋_GB2312" w:hAnsi="宋体" w:eastAsia="仿宋_GB2312" w:cs="宋体"/>
          <w:b/>
          <w:sz w:val="24"/>
        </w:rPr>
        <w:t>1 服务对象</w:t>
      </w:r>
      <w:bookmarkEnd w:id="38"/>
      <w:bookmarkEnd w:id="39"/>
      <w:bookmarkEnd w:id="40"/>
      <w:bookmarkEnd w:id="41"/>
    </w:p>
    <w:p w14:paraId="77BAE3DD">
      <w:pPr>
        <w:snapToGrid w:val="0"/>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中标供应商应为所有使用本系统的用户提供终身服务，服务对象包括天宁区财政用户、预算单位用户、银行用户等。</w:t>
      </w:r>
    </w:p>
    <w:p w14:paraId="5ED0B3CD">
      <w:pPr>
        <w:snapToGrid w:val="0"/>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本项目须提供自验收合格之日起1年的免费售后服务。</w:t>
      </w:r>
    </w:p>
    <w:p w14:paraId="795F7751">
      <w:pPr>
        <w:spacing w:line="360" w:lineRule="auto"/>
        <w:ind w:left="420"/>
        <w:rPr>
          <w:rFonts w:ascii="仿宋_GB2312" w:eastAsia="仿宋_GB2312" w:cs="宋体"/>
          <w:b/>
          <w:sz w:val="24"/>
        </w:rPr>
      </w:pPr>
      <w:bookmarkStart w:id="42" w:name="_Toc362356725"/>
      <w:r>
        <w:rPr>
          <w:rFonts w:hint="eastAsia" w:ascii="仿宋_GB2312" w:hAnsi="宋体" w:eastAsia="仿宋_GB2312" w:cs="宋体"/>
          <w:b/>
          <w:sz w:val="24"/>
        </w:rPr>
        <w:t>7.4.2服务内容</w:t>
      </w:r>
    </w:p>
    <w:p w14:paraId="409090F0">
      <w:pPr>
        <w:spacing w:line="360" w:lineRule="auto"/>
        <w:ind w:left="420"/>
        <w:rPr>
          <w:rFonts w:ascii="仿宋_GB2312" w:hAnsi="宋体" w:eastAsia="仿宋_GB2312" w:cs="宋体"/>
          <w:sz w:val="24"/>
        </w:rPr>
      </w:pPr>
      <w:r>
        <w:rPr>
          <w:rFonts w:hint="eastAsia" w:ascii="仿宋_GB2312" w:hAnsi="宋体" w:eastAsia="仿宋_GB2312" w:cs="宋体"/>
          <w:sz w:val="24"/>
        </w:rPr>
        <w:t>（1）培训服务：中标供应商必须对项目用户免费提供全面的系统培训，包括系统业务操作培训、系统管理及维护工具培训。需列明详细的培训课程、方案和计划安排，需要时，协助采购人参加培训人员办理有关手续，包括联系和安排住宿及往返交通等。</w:t>
      </w:r>
    </w:p>
    <w:p w14:paraId="0C4CED4E">
      <w:pPr>
        <w:spacing w:line="360" w:lineRule="auto"/>
        <w:ind w:left="420"/>
        <w:rPr>
          <w:rFonts w:ascii="仿宋_GB2312" w:hAnsi="宋体" w:eastAsia="仿宋_GB2312" w:cs="宋体"/>
          <w:sz w:val="24"/>
        </w:rPr>
      </w:pPr>
      <w:r>
        <w:rPr>
          <w:rFonts w:hint="eastAsia" w:ascii="仿宋_GB2312" w:hAnsi="宋体" w:eastAsia="仿宋_GB2312" w:cs="宋体"/>
          <w:sz w:val="24"/>
        </w:rPr>
        <w:t>（2）应急故障处理：系统运行环境出现故障或意外情况导致系统不能正常运行时，投标人响应的情况描述，包括针对不同故障级别的响应时间和响应内容。</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828"/>
        <w:gridCol w:w="3452"/>
      </w:tblGrid>
      <w:tr w14:paraId="0E89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0C8AECC0">
            <w:pPr>
              <w:pStyle w:val="77"/>
              <w:ind w:firstLine="0" w:firstLineChars="0"/>
              <w:jc w:val="center"/>
              <w:rPr>
                <w:rFonts w:ascii="仿宋_GB2312" w:eastAsia="仿宋_GB2312" w:cs="宋体"/>
                <w:kern w:val="2"/>
              </w:rPr>
            </w:pPr>
            <w:r>
              <w:rPr>
                <w:rFonts w:hint="eastAsia" w:ascii="仿宋_GB2312" w:eastAsia="仿宋_GB2312" w:cs="宋体"/>
                <w:kern w:val="2"/>
              </w:rPr>
              <w:t>事件等级</w:t>
            </w:r>
          </w:p>
        </w:tc>
        <w:tc>
          <w:tcPr>
            <w:tcW w:w="3828" w:type="dxa"/>
            <w:vAlign w:val="center"/>
          </w:tcPr>
          <w:p w14:paraId="5F1C32A0">
            <w:pPr>
              <w:pStyle w:val="77"/>
              <w:ind w:firstLine="0" w:firstLineChars="0"/>
              <w:jc w:val="center"/>
              <w:rPr>
                <w:rFonts w:ascii="仿宋_GB2312" w:eastAsia="仿宋_GB2312" w:cs="宋体"/>
                <w:kern w:val="2"/>
              </w:rPr>
            </w:pPr>
            <w:r>
              <w:rPr>
                <w:rFonts w:hint="eastAsia" w:ascii="仿宋_GB2312" w:eastAsia="仿宋_GB2312" w:cs="宋体"/>
                <w:kern w:val="2"/>
              </w:rPr>
              <w:t>事件描述</w:t>
            </w:r>
          </w:p>
        </w:tc>
        <w:tc>
          <w:tcPr>
            <w:tcW w:w="3452" w:type="dxa"/>
            <w:vAlign w:val="center"/>
          </w:tcPr>
          <w:p w14:paraId="35456AE9">
            <w:pPr>
              <w:pStyle w:val="77"/>
              <w:ind w:firstLine="0" w:firstLineChars="0"/>
              <w:jc w:val="center"/>
              <w:rPr>
                <w:rFonts w:ascii="仿宋_GB2312" w:eastAsia="仿宋_GB2312" w:cs="宋体"/>
                <w:kern w:val="2"/>
              </w:rPr>
            </w:pPr>
            <w:r>
              <w:rPr>
                <w:rFonts w:hint="eastAsia" w:ascii="仿宋_GB2312" w:eastAsia="仿宋_GB2312" w:cs="宋体"/>
                <w:kern w:val="2"/>
              </w:rPr>
              <w:t>提供服务的时间</w:t>
            </w:r>
          </w:p>
        </w:tc>
      </w:tr>
      <w:tr w14:paraId="687E7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1126018A">
            <w:pPr>
              <w:pStyle w:val="77"/>
              <w:ind w:firstLine="0" w:firstLineChars="0"/>
              <w:jc w:val="center"/>
              <w:rPr>
                <w:rFonts w:ascii="仿宋_GB2312" w:eastAsia="仿宋_GB2312" w:cs="宋体"/>
                <w:kern w:val="2"/>
              </w:rPr>
            </w:pPr>
            <w:r>
              <w:rPr>
                <w:rFonts w:hint="eastAsia" w:ascii="仿宋_GB2312" w:eastAsia="仿宋_GB2312" w:cs="宋体"/>
                <w:kern w:val="2"/>
              </w:rPr>
              <w:t>严重</w:t>
            </w:r>
          </w:p>
        </w:tc>
        <w:tc>
          <w:tcPr>
            <w:tcW w:w="3828" w:type="dxa"/>
          </w:tcPr>
          <w:p w14:paraId="18F0FAE1">
            <w:pPr>
              <w:pStyle w:val="77"/>
              <w:ind w:firstLine="0" w:firstLineChars="0"/>
              <w:rPr>
                <w:rFonts w:ascii="仿宋_GB2312" w:eastAsia="仿宋_GB2312" w:cs="宋体"/>
                <w:kern w:val="2"/>
              </w:rPr>
            </w:pPr>
            <w:r>
              <w:rPr>
                <w:rFonts w:hint="eastAsia" w:ascii="仿宋_GB2312" w:eastAsia="仿宋_GB2312" w:cs="宋体"/>
                <w:kern w:val="2"/>
              </w:rPr>
              <w:t>系统无法运作，而且没有任何暂时性的解决方案；或者虽有暂时性的解决方案，但影响到用户正常使用；或系统可以运作，但存在信息安全问题；或信息丢失。</w:t>
            </w:r>
          </w:p>
        </w:tc>
        <w:tc>
          <w:tcPr>
            <w:tcW w:w="3452" w:type="dxa"/>
          </w:tcPr>
          <w:p w14:paraId="585FA7F2">
            <w:pPr>
              <w:tabs>
                <w:tab w:val="left" w:pos="480"/>
              </w:tabs>
              <w:spacing w:line="276" w:lineRule="auto"/>
              <w:rPr>
                <w:rFonts w:ascii="仿宋_GB2312" w:eastAsia="仿宋_GB2312" w:cs="宋体"/>
                <w:sz w:val="24"/>
              </w:rPr>
            </w:pPr>
            <w:r>
              <w:rPr>
                <w:rFonts w:hint="eastAsia" w:ascii="仿宋_GB2312" w:eastAsia="仿宋_GB2312" w:cs="宋体"/>
                <w:sz w:val="24"/>
              </w:rPr>
              <w:t>立即做出响应</w:t>
            </w:r>
          </w:p>
          <w:p w14:paraId="79EB47CC">
            <w:pPr>
              <w:tabs>
                <w:tab w:val="left" w:pos="480"/>
              </w:tabs>
              <w:spacing w:line="276" w:lineRule="auto"/>
              <w:ind w:left="-2"/>
              <w:rPr>
                <w:rFonts w:ascii="仿宋_GB2312" w:eastAsia="仿宋_GB2312" w:cs="宋体"/>
                <w:sz w:val="24"/>
              </w:rPr>
            </w:pPr>
            <w:r>
              <w:rPr>
                <w:rFonts w:hint="eastAsia" w:ascii="仿宋_GB2312" w:eastAsia="仿宋_GB2312" w:cs="宋体"/>
                <w:sz w:val="24"/>
              </w:rPr>
              <w:t>一小时内与客户讨论解决方案</w:t>
            </w:r>
          </w:p>
          <w:p w14:paraId="55C75AB8">
            <w:pPr>
              <w:tabs>
                <w:tab w:val="left" w:pos="480"/>
              </w:tabs>
              <w:spacing w:line="276" w:lineRule="auto"/>
              <w:ind w:left="-2"/>
              <w:rPr>
                <w:rFonts w:ascii="仿宋_GB2312" w:eastAsia="仿宋_GB2312" w:cs="宋体"/>
                <w:sz w:val="24"/>
              </w:rPr>
            </w:pPr>
            <w:r>
              <w:rPr>
                <w:rFonts w:hint="eastAsia" w:ascii="仿宋_GB2312" w:eastAsia="仿宋_GB2312" w:cs="宋体"/>
                <w:sz w:val="24"/>
              </w:rPr>
              <w:t>两小时内提供现场技术支持</w:t>
            </w:r>
          </w:p>
          <w:p w14:paraId="72CFB59C">
            <w:pPr>
              <w:pStyle w:val="77"/>
              <w:ind w:firstLine="0" w:firstLineChars="0"/>
              <w:rPr>
                <w:rFonts w:ascii="仿宋_GB2312" w:eastAsia="仿宋_GB2312" w:cs="宋体"/>
                <w:kern w:val="2"/>
              </w:rPr>
            </w:pPr>
            <w:r>
              <w:rPr>
                <w:rFonts w:hint="eastAsia" w:ascii="仿宋_GB2312" w:eastAsia="仿宋_GB2312" w:cs="宋体"/>
                <w:kern w:val="2"/>
              </w:rPr>
              <w:t>八小时内解决问题</w:t>
            </w:r>
          </w:p>
        </w:tc>
      </w:tr>
      <w:tr w14:paraId="4042B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57B12E34">
            <w:pPr>
              <w:pStyle w:val="77"/>
              <w:ind w:firstLine="0" w:firstLineChars="0"/>
              <w:jc w:val="center"/>
              <w:rPr>
                <w:rFonts w:ascii="仿宋_GB2312" w:eastAsia="仿宋_GB2312" w:cs="宋体"/>
                <w:kern w:val="2"/>
              </w:rPr>
            </w:pPr>
            <w:r>
              <w:rPr>
                <w:rFonts w:hint="eastAsia" w:ascii="仿宋_GB2312" w:eastAsia="仿宋_GB2312" w:cs="宋体"/>
                <w:kern w:val="2"/>
              </w:rPr>
              <w:t>高级</w:t>
            </w:r>
          </w:p>
        </w:tc>
        <w:tc>
          <w:tcPr>
            <w:tcW w:w="3828" w:type="dxa"/>
          </w:tcPr>
          <w:p w14:paraId="06BFC790">
            <w:pPr>
              <w:pStyle w:val="77"/>
              <w:ind w:firstLine="0" w:firstLineChars="0"/>
              <w:rPr>
                <w:rFonts w:ascii="仿宋_GB2312" w:eastAsia="仿宋_GB2312" w:cs="宋体"/>
                <w:kern w:val="2"/>
              </w:rPr>
            </w:pPr>
            <w:r>
              <w:rPr>
                <w:rFonts w:hint="eastAsia" w:ascii="仿宋_GB2312" w:eastAsia="仿宋_GB2312" w:cs="宋体"/>
                <w:kern w:val="2"/>
              </w:rPr>
              <w:t>系统可以运作，但功能已受到严重影响；系统性能受到严重影响或出现其它未知异常现象；大规模范围出现用户使用速度明显偏慢。</w:t>
            </w:r>
          </w:p>
        </w:tc>
        <w:tc>
          <w:tcPr>
            <w:tcW w:w="3452" w:type="dxa"/>
          </w:tcPr>
          <w:p w14:paraId="74DBCE02">
            <w:pPr>
              <w:tabs>
                <w:tab w:val="left" w:pos="480"/>
              </w:tabs>
              <w:spacing w:line="276" w:lineRule="auto"/>
              <w:rPr>
                <w:rFonts w:ascii="仿宋_GB2312" w:eastAsia="仿宋_GB2312" w:cs="宋体"/>
                <w:sz w:val="24"/>
              </w:rPr>
            </w:pPr>
            <w:r>
              <w:rPr>
                <w:rFonts w:hint="eastAsia" w:ascii="仿宋_GB2312" w:eastAsia="仿宋_GB2312" w:cs="宋体"/>
                <w:sz w:val="24"/>
              </w:rPr>
              <w:t>两小时内做出响应</w:t>
            </w:r>
          </w:p>
          <w:p w14:paraId="165B75B3">
            <w:pPr>
              <w:tabs>
                <w:tab w:val="left" w:pos="480"/>
              </w:tabs>
              <w:spacing w:line="276" w:lineRule="auto"/>
              <w:ind w:left="-2"/>
              <w:rPr>
                <w:rFonts w:ascii="仿宋_GB2312" w:eastAsia="仿宋_GB2312" w:cs="宋体"/>
                <w:sz w:val="24"/>
              </w:rPr>
            </w:pPr>
            <w:r>
              <w:rPr>
                <w:rFonts w:hint="eastAsia" w:ascii="仿宋_GB2312" w:eastAsia="仿宋_GB2312" w:cs="宋体"/>
                <w:sz w:val="24"/>
              </w:rPr>
              <w:t>四小时内与客户讨论解决方案</w:t>
            </w:r>
          </w:p>
          <w:p w14:paraId="1A95BD26">
            <w:pPr>
              <w:tabs>
                <w:tab w:val="left" w:pos="480"/>
              </w:tabs>
              <w:spacing w:line="276" w:lineRule="auto"/>
              <w:ind w:left="-2"/>
              <w:rPr>
                <w:rFonts w:ascii="仿宋_GB2312" w:eastAsia="仿宋_GB2312" w:cs="宋体"/>
                <w:sz w:val="24"/>
              </w:rPr>
            </w:pPr>
            <w:r>
              <w:rPr>
                <w:rFonts w:hint="eastAsia" w:ascii="仿宋_GB2312" w:eastAsia="仿宋_GB2312" w:cs="宋体"/>
                <w:sz w:val="24"/>
              </w:rPr>
              <w:t>十二小时内提供现场技术支持</w:t>
            </w:r>
          </w:p>
          <w:p w14:paraId="10A77CD5">
            <w:pPr>
              <w:pStyle w:val="77"/>
              <w:ind w:firstLine="0" w:firstLineChars="0"/>
              <w:rPr>
                <w:rFonts w:ascii="仿宋_GB2312" w:eastAsia="仿宋_GB2312" w:cs="宋体"/>
                <w:kern w:val="2"/>
              </w:rPr>
            </w:pPr>
            <w:r>
              <w:rPr>
                <w:rFonts w:hint="eastAsia" w:ascii="仿宋_GB2312" w:eastAsia="仿宋_GB2312" w:cs="宋体"/>
                <w:kern w:val="2"/>
              </w:rPr>
              <w:t>二十四小时内解决问题</w:t>
            </w:r>
          </w:p>
        </w:tc>
      </w:tr>
      <w:tr w14:paraId="1496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7387620D">
            <w:pPr>
              <w:pStyle w:val="77"/>
              <w:ind w:firstLine="0" w:firstLineChars="0"/>
              <w:jc w:val="center"/>
              <w:rPr>
                <w:rFonts w:ascii="仿宋_GB2312" w:eastAsia="仿宋_GB2312" w:cs="宋体"/>
                <w:kern w:val="2"/>
              </w:rPr>
            </w:pPr>
            <w:r>
              <w:rPr>
                <w:rFonts w:hint="eastAsia" w:ascii="仿宋_GB2312" w:eastAsia="仿宋_GB2312" w:cs="宋体"/>
                <w:kern w:val="2"/>
              </w:rPr>
              <w:t>中级</w:t>
            </w:r>
          </w:p>
        </w:tc>
        <w:tc>
          <w:tcPr>
            <w:tcW w:w="3828" w:type="dxa"/>
          </w:tcPr>
          <w:p w14:paraId="0FCA9E22">
            <w:pPr>
              <w:pStyle w:val="77"/>
              <w:ind w:firstLine="0" w:firstLineChars="0"/>
              <w:rPr>
                <w:rFonts w:ascii="仿宋_GB2312" w:eastAsia="仿宋_GB2312" w:cs="宋体"/>
                <w:kern w:val="2"/>
              </w:rPr>
            </w:pPr>
            <w:r>
              <w:rPr>
                <w:rFonts w:hint="eastAsia" w:ascii="仿宋_GB2312" w:eastAsia="仿宋_GB2312" w:cs="宋体"/>
                <w:kern w:val="2"/>
              </w:rPr>
              <w:t>系统可以运作，但出现小范围的功能问题或者性能问题，采取修改配置等措施后仍无法正常运转。</w:t>
            </w:r>
          </w:p>
        </w:tc>
        <w:tc>
          <w:tcPr>
            <w:tcW w:w="3452" w:type="dxa"/>
          </w:tcPr>
          <w:p w14:paraId="694BDC23">
            <w:pPr>
              <w:tabs>
                <w:tab w:val="left" w:pos="480"/>
              </w:tabs>
              <w:spacing w:line="276" w:lineRule="auto"/>
              <w:rPr>
                <w:rFonts w:ascii="仿宋_GB2312" w:eastAsia="仿宋_GB2312" w:cs="宋体"/>
                <w:sz w:val="24"/>
              </w:rPr>
            </w:pPr>
            <w:r>
              <w:rPr>
                <w:rFonts w:hint="eastAsia" w:ascii="仿宋_GB2312" w:eastAsia="仿宋_GB2312" w:cs="宋体"/>
                <w:sz w:val="24"/>
              </w:rPr>
              <w:t>四小时内做出响应</w:t>
            </w:r>
          </w:p>
          <w:p w14:paraId="40D5CEE5">
            <w:pPr>
              <w:tabs>
                <w:tab w:val="left" w:pos="480"/>
              </w:tabs>
              <w:spacing w:line="276" w:lineRule="auto"/>
              <w:ind w:left="-2"/>
              <w:rPr>
                <w:rFonts w:ascii="仿宋_GB2312" w:eastAsia="仿宋_GB2312" w:cs="宋体"/>
                <w:sz w:val="24"/>
              </w:rPr>
            </w:pPr>
            <w:r>
              <w:rPr>
                <w:rFonts w:hint="eastAsia" w:ascii="仿宋_GB2312" w:eastAsia="仿宋_GB2312" w:cs="宋体"/>
                <w:sz w:val="24"/>
              </w:rPr>
              <w:t>十二小时内提供现场技术支持</w:t>
            </w:r>
          </w:p>
          <w:p w14:paraId="5CCE3949">
            <w:pPr>
              <w:pStyle w:val="77"/>
              <w:ind w:firstLine="0" w:firstLineChars="0"/>
              <w:rPr>
                <w:rFonts w:ascii="仿宋_GB2312" w:eastAsia="仿宋_GB2312" w:cs="宋体"/>
                <w:kern w:val="2"/>
              </w:rPr>
            </w:pPr>
            <w:r>
              <w:rPr>
                <w:rFonts w:hint="eastAsia" w:ascii="仿宋_GB2312" w:eastAsia="仿宋_GB2312" w:cs="宋体"/>
                <w:kern w:val="2"/>
              </w:rPr>
              <w:t>二十四小时内解决问题</w:t>
            </w:r>
          </w:p>
        </w:tc>
      </w:tr>
      <w:tr w14:paraId="11399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6F055379">
            <w:pPr>
              <w:pStyle w:val="77"/>
              <w:ind w:firstLine="0" w:firstLineChars="0"/>
              <w:jc w:val="center"/>
              <w:rPr>
                <w:rFonts w:ascii="仿宋_GB2312" w:eastAsia="仿宋_GB2312" w:cs="宋体"/>
                <w:kern w:val="2"/>
              </w:rPr>
            </w:pPr>
            <w:r>
              <w:rPr>
                <w:rFonts w:hint="eastAsia" w:ascii="仿宋_GB2312" w:eastAsia="仿宋_GB2312" w:cs="宋体"/>
                <w:kern w:val="2"/>
              </w:rPr>
              <w:t>低级</w:t>
            </w:r>
          </w:p>
        </w:tc>
        <w:tc>
          <w:tcPr>
            <w:tcW w:w="3828" w:type="dxa"/>
          </w:tcPr>
          <w:p w14:paraId="1B3B878A">
            <w:pPr>
              <w:pStyle w:val="77"/>
              <w:ind w:firstLine="0" w:firstLineChars="0"/>
              <w:rPr>
                <w:rFonts w:ascii="仿宋_GB2312" w:eastAsia="仿宋_GB2312" w:cs="宋体"/>
                <w:kern w:val="2"/>
              </w:rPr>
            </w:pPr>
            <w:r>
              <w:rPr>
                <w:rFonts w:hint="eastAsia" w:ascii="仿宋_GB2312" w:eastAsia="仿宋_GB2312" w:cs="宋体"/>
                <w:kern w:val="2"/>
              </w:rPr>
              <w:t>客户有问题询问或是功能方面的加强。</w:t>
            </w:r>
          </w:p>
        </w:tc>
        <w:tc>
          <w:tcPr>
            <w:tcW w:w="3452" w:type="dxa"/>
          </w:tcPr>
          <w:p w14:paraId="188F97A4">
            <w:pPr>
              <w:pStyle w:val="77"/>
              <w:ind w:firstLine="0" w:firstLineChars="0"/>
              <w:rPr>
                <w:rFonts w:ascii="仿宋_GB2312" w:eastAsia="仿宋_GB2312" w:cs="宋体"/>
                <w:kern w:val="2"/>
              </w:rPr>
            </w:pPr>
            <w:r>
              <w:rPr>
                <w:rFonts w:hint="eastAsia" w:ascii="仿宋_GB2312" w:eastAsia="仿宋_GB2312" w:cs="宋体"/>
                <w:kern w:val="2"/>
              </w:rPr>
              <w:t>十二小时内做出响应</w:t>
            </w:r>
          </w:p>
          <w:p w14:paraId="400919A2">
            <w:pPr>
              <w:pStyle w:val="77"/>
              <w:ind w:firstLine="0" w:firstLineChars="0"/>
              <w:rPr>
                <w:rFonts w:ascii="仿宋_GB2312" w:eastAsia="仿宋_GB2312" w:cs="宋体"/>
                <w:kern w:val="2"/>
              </w:rPr>
            </w:pPr>
            <w:r>
              <w:rPr>
                <w:rFonts w:hint="eastAsia" w:ascii="仿宋_GB2312" w:eastAsia="仿宋_GB2312" w:cs="宋体"/>
                <w:kern w:val="2"/>
              </w:rPr>
              <w:t>四十八小时内解决问题，问题解决后知会有关部门</w:t>
            </w:r>
          </w:p>
        </w:tc>
      </w:tr>
    </w:tbl>
    <w:p w14:paraId="072FEAED">
      <w:pPr>
        <w:spacing w:line="360" w:lineRule="auto"/>
        <w:ind w:left="420"/>
        <w:rPr>
          <w:rFonts w:ascii="仿宋_GB2312" w:hAnsi="宋体" w:eastAsia="仿宋_GB2312" w:cs="宋体"/>
          <w:sz w:val="24"/>
        </w:rPr>
      </w:pPr>
      <w:r>
        <w:rPr>
          <w:rFonts w:hint="eastAsia" w:ascii="仿宋_GB2312" w:hAnsi="宋体" w:eastAsia="仿宋_GB2312" w:cs="宋体"/>
          <w:sz w:val="24"/>
        </w:rPr>
        <w:t>（3）日常服务内容：人员权限修改，业务人员更换导致的业务操作重新培训；导出导入业务数据；修改数据（后台）；机房设备的重启与维护；因基础资料变动、业务流程、审批流程和各类报表等变动导致其他相关模块的数据修改。</w:t>
      </w:r>
    </w:p>
    <w:p w14:paraId="7FC1BDA0">
      <w:pPr>
        <w:spacing w:line="360" w:lineRule="auto"/>
        <w:ind w:left="420"/>
        <w:rPr>
          <w:rFonts w:ascii="仿宋_GB2312" w:hAnsi="宋体" w:eastAsia="仿宋_GB2312" w:cs="宋体"/>
          <w:sz w:val="24"/>
        </w:rPr>
      </w:pPr>
      <w:r>
        <w:rPr>
          <w:rFonts w:hint="eastAsia" w:ascii="仿宋_GB2312" w:hAnsi="宋体" w:eastAsia="仿宋_GB2312" w:cs="宋体"/>
          <w:sz w:val="24"/>
        </w:rPr>
        <w:t>7.4.3系统上线后服务方式</w:t>
      </w:r>
      <w:bookmarkEnd w:id="42"/>
    </w:p>
    <w:p w14:paraId="7F85530F">
      <w:pPr>
        <w:snapToGrid w:val="0"/>
        <w:spacing w:line="360" w:lineRule="auto"/>
        <w:ind w:firstLine="480" w:firstLineChars="200"/>
        <w:jc w:val="left"/>
        <w:rPr>
          <w:rFonts w:ascii="仿宋_GB2312" w:eastAsia="仿宋_GB2312"/>
          <w:sz w:val="24"/>
        </w:rPr>
      </w:pPr>
      <w:bookmarkStart w:id="43" w:name="_Toc149830751"/>
      <w:bookmarkStart w:id="44" w:name="_Toc166323651"/>
      <w:bookmarkStart w:id="45" w:name="_Toc198098351"/>
      <w:bookmarkStart w:id="46" w:name="_Toc198316249"/>
      <w:bookmarkStart w:id="47" w:name="_Toc244398226"/>
      <w:r>
        <w:rPr>
          <w:rFonts w:hint="eastAsia" w:ascii="仿宋_GB2312" w:hAnsi="宋体" w:eastAsia="仿宋_GB2312" w:cs="宋体"/>
          <w:sz w:val="24"/>
        </w:rPr>
        <w:t>（1）现场服务</w:t>
      </w:r>
      <w:bookmarkEnd w:id="43"/>
      <w:bookmarkEnd w:id="44"/>
      <w:bookmarkEnd w:id="45"/>
      <w:bookmarkEnd w:id="46"/>
      <w:bookmarkEnd w:id="47"/>
    </w:p>
    <w:p w14:paraId="3CD00860">
      <w:pPr>
        <w:snapToGrid w:val="0"/>
        <w:spacing w:line="360" w:lineRule="auto"/>
        <w:ind w:firstLine="480" w:firstLineChars="200"/>
        <w:rPr>
          <w:rFonts w:ascii="仿宋_GB2312" w:eastAsia="仿宋_GB2312"/>
          <w:sz w:val="24"/>
        </w:rPr>
      </w:pPr>
      <w:r>
        <w:rPr>
          <w:rFonts w:hint="eastAsia" w:ascii="仿宋_GB2312" w:hAnsi="宋体" w:eastAsia="仿宋_GB2312" w:cs="宋体"/>
          <w:sz w:val="24"/>
        </w:rPr>
        <w:t>自项目最终验收合格之日起，中标供应商应负责提供财政局认可的服务支持小组7*24小时现场服务。服务工作包括软件使用咨询、软件异常情况处理、数据异常维护、系统迁移、数据备份、重新安装等服务。</w:t>
      </w:r>
    </w:p>
    <w:p w14:paraId="0673190F">
      <w:pPr>
        <w:snapToGrid w:val="0"/>
        <w:spacing w:line="360" w:lineRule="auto"/>
        <w:ind w:firstLine="480" w:firstLineChars="200"/>
        <w:rPr>
          <w:rFonts w:ascii="仿宋_GB2312" w:eastAsia="仿宋_GB2312"/>
          <w:sz w:val="24"/>
        </w:rPr>
      </w:pPr>
      <w:bookmarkStart w:id="48" w:name="_Toc149830752"/>
      <w:bookmarkStart w:id="49" w:name="_Toc244398227"/>
      <w:bookmarkStart w:id="50" w:name="_Toc166323652"/>
      <w:bookmarkStart w:id="51" w:name="_Toc198316250"/>
      <w:bookmarkStart w:id="52" w:name="_Toc198098352"/>
      <w:r>
        <w:rPr>
          <w:rFonts w:hint="eastAsia" w:ascii="仿宋_GB2312" w:hAnsi="宋体" w:eastAsia="仿宋_GB2312" w:cs="宋体"/>
          <w:sz w:val="24"/>
        </w:rPr>
        <w:t>（2）电话服务</w:t>
      </w:r>
      <w:bookmarkEnd w:id="48"/>
      <w:bookmarkEnd w:id="49"/>
      <w:bookmarkEnd w:id="50"/>
      <w:bookmarkEnd w:id="51"/>
      <w:bookmarkEnd w:id="52"/>
    </w:p>
    <w:p w14:paraId="384A4FA9">
      <w:pPr>
        <w:snapToGrid w:val="0"/>
        <w:spacing w:line="360" w:lineRule="auto"/>
        <w:ind w:firstLine="480" w:firstLineChars="200"/>
        <w:rPr>
          <w:rFonts w:ascii="仿宋_GB2312" w:eastAsia="仿宋_GB2312"/>
          <w:sz w:val="24"/>
        </w:rPr>
      </w:pPr>
      <w:r>
        <w:rPr>
          <w:rFonts w:hint="eastAsia" w:ascii="仿宋_GB2312" w:hAnsi="宋体" w:eastAsia="仿宋_GB2312" w:cs="宋体"/>
          <w:sz w:val="24"/>
        </w:rPr>
        <w:t>在免费维护期到期前，中标供应商应开通多部服务热线，提供7*24小时电话服务，对电话服务承诺如下：</w:t>
      </w:r>
    </w:p>
    <w:p w14:paraId="72C3CA32">
      <w:pPr>
        <w:numPr>
          <w:ilvl w:val="0"/>
          <w:numId w:val="6"/>
        </w:numPr>
        <w:snapToGrid w:val="0"/>
        <w:spacing w:line="360" w:lineRule="auto"/>
        <w:rPr>
          <w:rFonts w:ascii="仿宋_GB2312" w:eastAsia="仿宋_GB2312"/>
          <w:sz w:val="24"/>
        </w:rPr>
      </w:pPr>
      <w:r>
        <w:rPr>
          <w:rFonts w:hint="eastAsia" w:ascii="仿宋_GB2312" w:hAnsi="宋体" w:eastAsia="仿宋_GB2312" w:cs="宋体"/>
          <w:sz w:val="24"/>
        </w:rPr>
        <w:t>工作日内实时响应客户电话。</w:t>
      </w:r>
    </w:p>
    <w:p w14:paraId="36250071">
      <w:pPr>
        <w:numPr>
          <w:ilvl w:val="0"/>
          <w:numId w:val="6"/>
        </w:numPr>
        <w:snapToGrid w:val="0"/>
        <w:spacing w:line="360" w:lineRule="auto"/>
        <w:rPr>
          <w:rFonts w:ascii="仿宋_GB2312" w:eastAsia="仿宋_GB2312"/>
          <w:sz w:val="24"/>
        </w:rPr>
      </w:pPr>
      <w:r>
        <w:rPr>
          <w:rFonts w:hint="eastAsia" w:ascii="仿宋_GB2312" w:hAnsi="宋体" w:eastAsia="仿宋_GB2312" w:cs="宋体"/>
          <w:sz w:val="24"/>
        </w:rPr>
        <w:t>非工作日2小时内回复客户电话。</w:t>
      </w:r>
    </w:p>
    <w:p w14:paraId="4E008AC1">
      <w:pPr>
        <w:snapToGrid w:val="0"/>
        <w:spacing w:line="360" w:lineRule="auto"/>
        <w:ind w:firstLine="480" w:firstLineChars="200"/>
        <w:rPr>
          <w:rFonts w:ascii="仿宋_GB2312" w:eastAsia="仿宋_GB2312"/>
          <w:sz w:val="24"/>
        </w:rPr>
      </w:pPr>
      <w:r>
        <w:rPr>
          <w:rFonts w:hint="eastAsia" w:ascii="仿宋_GB2312" w:hAnsi="宋体" w:eastAsia="仿宋_GB2312" w:cs="宋体"/>
          <w:sz w:val="24"/>
        </w:rPr>
        <w:t>（3）故障响应</w:t>
      </w:r>
    </w:p>
    <w:p w14:paraId="5C20453A">
      <w:pPr>
        <w:snapToGrid w:val="0"/>
        <w:spacing w:line="360" w:lineRule="auto"/>
        <w:ind w:firstLine="480" w:firstLineChars="200"/>
        <w:rPr>
          <w:rFonts w:ascii="仿宋_GB2312" w:eastAsia="仿宋_GB2312" w:cs="宋体"/>
          <w:sz w:val="24"/>
        </w:rPr>
      </w:pPr>
      <w:r>
        <w:rPr>
          <w:rFonts w:hint="eastAsia" w:ascii="仿宋_GB2312" w:hAnsi="宋体" w:eastAsia="仿宋_GB2312" w:cs="宋体"/>
          <w:sz w:val="24"/>
        </w:rPr>
        <w:t>中标供应商保证重大故障在2小时内解决，一般故障在8小时内解决。</w:t>
      </w:r>
    </w:p>
    <w:p w14:paraId="238CE690">
      <w:pPr>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（4）服务价格</w:t>
      </w:r>
    </w:p>
    <w:p w14:paraId="3F1D97A8">
      <w:pPr>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中标供应商免费维护期外每年的服务价格，不超过中标合同总价格的10%。</w:t>
      </w:r>
    </w:p>
    <w:p w14:paraId="109F2B5B">
      <w:pPr>
        <w:snapToGrid w:val="0"/>
        <w:jc w:val="center"/>
        <w:rPr>
          <w:rFonts w:ascii="仿宋_GB2312" w:eastAsia="仿宋_GB2312"/>
          <w:b/>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EF231">
    <w:pPr>
      <w:pStyle w:val="21"/>
      <w:jc w:val="center"/>
    </w:pPr>
    <w:r>
      <w:fldChar w:fldCharType="begin"/>
    </w:r>
    <w:r>
      <w:instrText xml:space="preserve"> PAGE   \* MERGEFORMAT </w:instrText>
    </w:r>
    <w:r>
      <w:fldChar w:fldCharType="separate"/>
    </w:r>
    <w:r>
      <w:rPr>
        <w:lang w:val="zh-CN"/>
      </w:rPr>
      <w:t>54</w:t>
    </w:r>
    <w:r>
      <w:rPr>
        <w:lang w:val="zh-CN"/>
      </w:rPr>
      <w:fldChar w:fldCharType="end"/>
    </w:r>
  </w:p>
  <w:p w14:paraId="6B54AFEB">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A24FC">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A7C65"/>
    <w:multiLevelType w:val="multilevel"/>
    <w:tmpl w:val="0A8A7C65"/>
    <w:lvl w:ilvl="0" w:tentative="0">
      <w:start w:val="1"/>
      <w:numFmt w:val="japaneseCounting"/>
      <w:lvlText w:val="（%1）"/>
      <w:lvlJc w:val="left"/>
      <w:pPr>
        <w:ind w:left="1377" w:hanging="810"/>
      </w:pPr>
      <w:rPr>
        <w:rFonts w:hint="default"/>
        <w:lang w:val="en-US"/>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0EC95B79"/>
    <w:multiLevelType w:val="multilevel"/>
    <w:tmpl w:val="0EC95B79"/>
    <w:lvl w:ilvl="0" w:tentative="0">
      <w:start w:val="1"/>
      <w:numFmt w:val="japaneseCounting"/>
      <w:lvlText w:val="%1、"/>
      <w:lvlJc w:val="left"/>
      <w:pPr>
        <w:ind w:left="750" w:hanging="75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pStyle w:val="72"/>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54E63589"/>
    <w:multiLevelType w:val="multilevel"/>
    <w:tmpl w:val="54E63589"/>
    <w:lvl w:ilvl="0" w:tentative="0">
      <w:start w:val="1"/>
      <w:numFmt w:val="bullet"/>
      <w:lvlText w:val=""/>
      <w:lvlJc w:val="left"/>
      <w:pPr>
        <w:ind w:left="900" w:hanging="420"/>
      </w:pPr>
      <w:rPr>
        <w:rFonts w:hint="default" w:ascii="Wingdings" w:hAnsi="Wingdings"/>
        <w:color w:val="auto"/>
        <w:sz w:val="24"/>
        <w:szCs w:val="24"/>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66D54CCB"/>
    <w:multiLevelType w:val="multilevel"/>
    <w:tmpl w:val="66D54CCB"/>
    <w:lvl w:ilvl="0" w:tentative="0">
      <w:start w:val="1"/>
      <w:numFmt w:val="decimal"/>
      <w:lvlText w:val="%1  "/>
      <w:lvlJc w:val="left"/>
      <w:pPr>
        <w:tabs>
          <w:tab w:val="left" w:pos="1571"/>
        </w:tabs>
        <w:ind w:left="1283" w:hanging="432"/>
      </w:pPr>
      <w:rPr>
        <w:rFonts w:hint="eastAsia" w:ascii="黑体" w:eastAsia="黑体"/>
      </w:rPr>
    </w:lvl>
    <w:lvl w:ilvl="1" w:tentative="0">
      <w:start w:val="1"/>
      <w:numFmt w:val="decimal"/>
      <w:pStyle w:val="3"/>
      <w:lvlText w:val="%1.%2"/>
      <w:lvlJc w:val="left"/>
      <w:pPr>
        <w:tabs>
          <w:tab w:val="left" w:pos="0"/>
        </w:tabs>
        <w:ind w:left="0" w:firstLine="0"/>
      </w:pPr>
    </w:lvl>
    <w:lvl w:ilvl="2" w:tentative="0">
      <w:start w:val="1"/>
      <w:numFmt w:val="decimal"/>
      <w:pStyle w:val="5"/>
      <w:lvlText w:val="%1.%2.%3"/>
      <w:lvlJc w:val="left"/>
      <w:pPr>
        <w:tabs>
          <w:tab w:val="left" w:pos="0"/>
        </w:tabs>
        <w:ind w:left="0" w:firstLine="0"/>
      </w:pPr>
    </w:lvl>
    <w:lvl w:ilvl="3" w:tentative="0">
      <w:start w:val="1"/>
      <w:numFmt w:val="decimal"/>
      <w:lvlText w:val="%1.%2.%3.%4"/>
      <w:lvlJc w:val="left"/>
      <w:pPr>
        <w:tabs>
          <w:tab w:val="left" w:pos="0"/>
        </w:tabs>
        <w:ind w:left="0" w:firstLine="0"/>
      </w:pPr>
    </w:lvl>
    <w:lvl w:ilvl="4" w:tentative="0">
      <w:start w:val="1"/>
      <w:numFmt w:val="upperLetter"/>
      <w:lvlText w:val="%5."/>
      <w:lvlJc w:val="left"/>
      <w:pPr>
        <w:tabs>
          <w:tab w:val="left" w:pos="1271"/>
        </w:tabs>
        <w:ind w:left="1271" w:hanging="420"/>
      </w:pPr>
    </w:lvl>
    <w:lvl w:ilvl="5" w:tentative="0">
      <w:start w:val="1"/>
      <w:numFmt w:val="decimal"/>
      <w:lvlText w:val="%1.%2.%3.%4.%5.%6"/>
      <w:lvlJc w:val="left"/>
      <w:pPr>
        <w:tabs>
          <w:tab w:val="left" w:pos="2003"/>
        </w:tabs>
        <w:ind w:left="2003" w:hanging="1152"/>
      </w:pPr>
    </w:lvl>
    <w:lvl w:ilvl="6" w:tentative="0">
      <w:start w:val="1"/>
      <w:numFmt w:val="decimal"/>
      <w:lvlText w:val="%1.%2.%3.%4.%5.%6.%7"/>
      <w:lvlJc w:val="left"/>
      <w:pPr>
        <w:tabs>
          <w:tab w:val="left" w:pos="2147"/>
        </w:tabs>
        <w:ind w:left="2147" w:hanging="1296"/>
      </w:pPr>
    </w:lvl>
    <w:lvl w:ilvl="7" w:tentative="0">
      <w:start w:val="1"/>
      <w:numFmt w:val="decimal"/>
      <w:lvlText w:val="%1.%2.%3.%4.%5.%6.%7.%8"/>
      <w:lvlJc w:val="left"/>
      <w:pPr>
        <w:tabs>
          <w:tab w:val="left" w:pos="2291"/>
        </w:tabs>
        <w:ind w:left="2291" w:hanging="1440"/>
      </w:pPr>
    </w:lvl>
    <w:lvl w:ilvl="8" w:tentative="0">
      <w:start w:val="1"/>
      <w:numFmt w:val="decimal"/>
      <w:lvlText w:val="%1.%2.%3.%4.%5.%6.%7.%8.%9"/>
      <w:lvlJc w:val="left"/>
      <w:pPr>
        <w:tabs>
          <w:tab w:val="left" w:pos="2435"/>
        </w:tabs>
        <w:ind w:left="2435" w:hanging="1584"/>
      </w:pPr>
    </w:lvl>
  </w:abstractNum>
  <w:abstractNum w:abstractNumId="4">
    <w:nsid w:val="6951140A"/>
    <w:multiLevelType w:val="multilevel"/>
    <w:tmpl w:val="6951140A"/>
    <w:lvl w:ilvl="0" w:tentative="0">
      <w:start w:val="1"/>
      <w:numFmt w:val="bullet"/>
      <w:lvlText w:val=""/>
      <w:lvlJc w:val="left"/>
      <w:pPr>
        <w:tabs>
          <w:tab w:val="left" w:pos="1020"/>
        </w:tabs>
        <w:ind w:left="1020" w:hanging="420"/>
      </w:pPr>
      <w:rPr>
        <w:rFonts w:hint="default" w:ascii="Wingdings" w:hAnsi="Wingdings"/>
      </w:rPr>
    </w:lvl>
    <w:lvl w:ilvl="1" w:tentative="0">
      <w:start w:val="1"/>
      <w:numFmt w:val="bullet"/>
      <w:lvlText w:val=""/>
      <w:lvlJc w:val="left"/>
      <w:pPr>
        <w:tabs>
          <w:tab w:val="left" w:pos="1440"/>
        </w:tabs>
        <w:ind w:left="1440" w:hanging="420"/>
      </w:pPr>
      <w:rPr>
        <w:rFonts w:hint="default" w:ascii="Wingdings" w:hAnsi="Wingdings"/>
      </w:rPr>
    </w:lvl>
    <w:lvl w:ilvl="2" w:tentative="0">
      <w:start w:val="1"/>
      <w:numFmt w:val="bullet"/>
      <w:lvlText w:val=""/>
      <w:lvlJc w:val="left"/>
      <w:pPr>
        <w:tabs>
          <w:tab w:val="left" w:pos="1860"/>
        </w:tabs>
        <w:ind w:left="1860" w:hanging="420"/>
      </w:pPr>
      <w:rPr>
        <w:rFonts w:hint="default" w:ascii="Wingdings" w:hAnsi="Wingdings"/>
      </w:rPr>
    </w:lvl>
    <w:lvl w:ilvl="3" w:tentative="0">
      <w:start w:val="1"/>
      <w:numFmt w:val="bullet"/>
      <w:lvlText w:val=""/>
      <w:lvlJc w:val="left"/>
      <w:pPr>
        <w:tabs>
          <w:tab w:val="left" w:pos="2280"/>
        </w:tabs>
        <w:ind w:left="2280" w:hanging="420"/>
      </w:pPr>
      <w:rPr>
        <w:rFonts w:hint="default" w:ascii="Wingdings" w:hAnsi="Wingdings"/>
      </w:rPr>
    </w:lvl>
    <w:lvl w:ilvl="4" w:tentative="0">
      <w:start w:val="1"/>
      <w:numFmt w:val="bullet"/>
      <w:lvlText w:val=""/>
      <w:lvlJc w:val="left"/>
      <w:pPr>
        <w:tabs>
          <w:tab w:val="left" w:pos="2700"/>
        </w:tabs>
        <w:ind w:left="2700" w:hanging="420"/>
      </w:pPr>
      <w:rPr>
        <w:rFonts w:hint="default" w:ascii="Wingdings" w:hAnsi="Wingdings"/>
      </w:rPr>
    </w:lvl>
    <w:lvl w:ilvl="5" w:tentative="0">
      <w:start w:val="1"/>
      <w:numFmt w:val="bullet"/>
      <w:lvlText w:val=""/>
      <w:lvlJc w:val="left"/>
      <w:pPr>
        <w:tabs>
          <w:tab w:val="left" w:pos="3120"/>
        </w:tabs>
        <w:ind w:left="3120" w:hanging="420"/>
      </w:pPr>
      <w:rPr>
        <w:rFonts w:hint="default" w:ascii="Wingdings" w:hAnsi="Wingdings"/>
      </w:rPr>
    </w:lvl>
    <w:lvl w:ilvl="6" w:tentative="0">
      <w:start w:val="1"/>
      <w:numFmt w:val="bullet"/>
      <w:lvlText w:val=""/>
      <w:lvlJc w:val="left"/>
      <w:pPr>
        <w:tabs>
          <w:tab w:val="left" w:pos="3540"/>
        </w:tabs>
        <w:ind w:left="3540" w:hanging="420"/>
      </w:pPr>
      <w:rPr>
        <w:rFonts w:hint="default" w:ascii="Wingdings" w:hAnsi="Wingdings"/>
      </w:rPr>
    </w:lvl>
    <w:lvl w:ilvl="7" w:tentative="0">
      <w:start w:val="1"/>
      <w:numFmt w:val="bullet"/>
      <w:lvlText w:val=""/>
      <w:lvlJc w:val="left"/>
      <w:pPr>
        <w:tabs>
          <w:tab w:val="left" w:pos="3960"/>
        </w:tabs>
        <w:ind w:left="3960" w:hanging="420"/>
      </w:pPr>
      <w:rPr>
        <w:rFonts w:hint="default" w:ascii="Wingdings" w:hAnsi="Wingdings"/>
      </w:rPr>
    </w:lvl>
    <w:lvl w:ilvl="8" w:tentative="0">
      <w:start w:val="1"/>
      <w:numFmt w:val="bullet"/>
      <w:lvlText w:val=""/>
      <w:lvlJc w:val="left"/>
      <w:pPr>
        <w:tabs>
          <w:tab w:val="left" w:pos="4380"/>
        </w:tabs>
        <w:ind w:left="4380" w:hanging="420"/>
      </w:pPr>
      <w:rPr>
        <w:rFonts w:hint="default" w:ascii="Wingdings" w:hAnsi="Wingdings"/>
      </w:rPr>
    </w:lvl>
  </w:abstractNum>
  <w:abstractNum w:abstractNumId="5">
    <w:nsid w:val="7CAD50B4"/>
    <w:multiLevelType w:val="multilevel"/>
    <w:tmpl w:val="7CAD50B4"/>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36C0"/>
    <w:rsid w:val="00002E1C"/>
    <w:rsid w:val="000047A8"/>
    <w:rsid w:val="00004C64"/>
    <w:rsid w:val="00005883"/>
    <w:rsid w:val="000064A6"/>
    <w:rsid w:val="000112ED"/>
    <w:rsid w:val="000129AD"/>
    <w:rsid w:val="00012B07"/>
    <w:rsid w:val="000200E7"/>
    <w:rsid w:val="00021D4D"/>
    <w:rsid w:val="000222CA"/>
    <w:rsid w:val="00026B8B"/>
    <w:rsid w:val="000279D5"/>
    <w:rsid w:val="000303D7"/>
    <w:rsid w:val="00030DA1"/>
    <w:rsid w:val="00032D0B"/>
    <w:rsid w:val="00033744"/>
    <w:rsid w:val="00035BF1"/>
    <w:rsid w:val="000361FC"/>
    <w:rsid w:val="00036B5A"/>
    <w:rsid w:val="00051D6E"/>
    <w:rsid w:val="000520E7"/>
    <w:rsid w:val="000527CF"/>
    <w:rsid w:val="0005473A"/>
    <w:rsid w:val="00055F5D"/>
    <w:rsid w:val="00057CA7"/>
    <w:rsid w:val="00057F82"/>
    <w:rsid w:val="00060FC9"/>
    <w:rsid w:val="00061BB4"/>
    <w:rsid w:val="00067A7D"/>
    <w:rsid w:val="00071CAF"/>
    <w:rsid w:val="0007292F"/>
    <w:rsid w:val="0007490A"/>
    <w:rsid w:val="0007755A"/>
    <w:rsid w:val="00083508"/>
    <w:rsid w:val="00083A32"/>
    <w:rsid w:val="00085217"/>
    <w:rsid w:val="00087B33"/>
    <w:rsid w:val="00087F8C"/>
    <w:rsid w:val="00091548"/>
    <w:rsid w:val="00093622"/>
    <w:rsid w:val="0009397D"/>
    <w:rsid w:val="000942EE"/>
    <w:rsid w:val="000957BE"/>
    <w:rsid w:val="0009696F"/>
    <w:rsid w:val="00096D1A"/>
    <w:rsid w:val="000A0F65"/>
    <w:rsid w:val="000A352D"/>
    <w:rsid w:val="000A6DDD"/>
    <w:rsid w:val="000B0881"/>
    <w:rsid w:val="000B1AA2"/>
    <w:rsid w:val="000B3053"/>
    <w:rsid w:val="000B5235"/>
    <w:rsid w:val="000C0094"/>
    <w:rsid w:val="000C03B6"/>
    <w:rsid w:val="000C0C9E"/>
    <w:rsid w:val="000C2B87"/>
    <w:rsid w:val="000C34E3"/>
    <w:rsid w:val="000C4231"/>
    <w:rsid w:val="000C45B9"/>
    <w:rsid w:val="000C58FF"/>
    <w:rsid w:val="000C69F8"/>
    <w:rsid w:val="000C78D3"/>
    <w:rsid w:val="000D0B03"/>
    <w:rsid w:val="000D1928"/>
    <w:rsid w:val="000D39AB"/>
    <w:rsid w:val="000D6CFF"/>
    <w:rsid w:val="000E5B9F"/>
    <w:rsid w:val="000E67DB"/>
    <w:rsid w:val="000E6D1F"/>
    <w:rsid w:val="000F308E"/>
    <w:rsid w:val="000F5119"/>
    <w:rsid w:val="000F6E0E"/>
    <w:rsid w:val="000F6FAA"/>
    <w:rsid w:val="000F74F2"/>
    <w:rsid w:val="0010076E"/>
    <w:rsid w:val="00103037"/>
    <w:rsid w:val="001030D9"/>
    <w:rsid w:val="00106736"/>
    <w:rsid w:val="00107EA7"/>
    <w:rsid w:val="001101CB"/>
    <w:rsid w:val="00113C3D"/>
    <w:rsid w:val="00114511"/>
    <w:rsid w:val="00114C78"/>
    <w:rsid w:val="00115EA2"/>
    <w:rsid w:val="00120438"/>
    <w:rsid w:val="0012090F"/>
    <w:rsid w:val="001229DA"/>
    <w:rsid w:val="00122F19"/>
    <w:rsid w:val="00123686"/>
    <w:rsid w:val="0012651E"/>
    <w:rsid w:val="00126729"/>
    <w:rsid w:val="00130EC7"/>
    <w:rsid w:val="00133C92"/>
    <w:rsid w:val="00133E28"/>
    <w:rsid w:val="001353F2"/>
    <w:rsid w:val="00136EC7"/>
    <w:rsid w:val="0014037F"/>
    <w:rsid w:val="00140D12"/>
    <w:rsid w:val="00141A84"/>
    <w:rsid w:val="00143059"/>
    <w:rsid w:val="00146025"/>
    <w:rsid w:val="0014616B"/>
    <w:rsid w:val="001529F7"/>
    <w:rsid w:val="00156D35"/>
    <w:rsid w:val="001578BE"/>
    <w:rsid w:val="00162FD1"/>
    <w:rsid w:val="00170E28"/>
    <w:rsid w:val="00171F26"/>
    <w:rsid w:val="0017420C"/>
    <w:rsid w:val="00176007"/>
    <w:rsid w:val="001773FC"/>
    <w:rsid w:val="00177595"/>
    <w:rsid w:val="00177EC3"/>
    <w:rsid w:val="0018082A"/>
    <w:rsid w:val="00182370"/>
    <w:rsid w:val="001848CE"/>
    <w:rsid w:val="00187ADF"/>
    <w:rsid w:val="00192676"/>
    <w:rsid w:val="001938BD"/>
    <w:rsid w:val="00196341"/>
    <w:rsid w:val="001970A5"/>
    <w:rsid w:val="00197DA8"/>
    <w:rsid w:val="001A0626"/>
    <w:rsid w:val="001A0677"/>
    <w:rsid w:val="001A1815"/>
    <w:rsid w:val="001A2241"/>
    <w:rsid w:val="001A2A33"/>
    <w:rsid w:val="001A37DC"/>
    <w:rsid w:val="001A4C62"/>
    <w:rsid w:val="001A7F0E"/>
    <w:rsid w:val="001B101B"/>
    <w:rsid w:val="001B26C1"/>
    <w:rsid w:val="001B514B"/>
    <w:rsid w:val="001B5E61"/>
    <w:rsid w:val="001B60AA"/>
    <w:rsid w:val="001C0DBF"/>
    <w:rsid w:val="001C0E64"/>
    <w:rsid w:val="001C18E1"/>
    <w:rsid w:val="001C2700"/>
    <w:rsid w:val="001C2C38"/>
    <w:rsid w:val="001C3D32"/>
    <w:rsid w:val="001C4E77"/>
    <w:rsid w:val="001C521A"/>
    <w:rsid w:val="001C6C73"/>
    <w:rsid w:val="001D286D"/>
    <w:rsid w:val="001D4603"/>
    <w:rsid w:val="001D77F3"/>
    <w:rsid w:val="001E1D89"/>
    <w:rsid w:val="001E39E0"/>
    <w:rsid w:val="001E3E33"/>
    <w:rsid w:val="001E6732"/>
    <w:rsid w:val="001E7438"/>
    <w:rsid w:val="001E7FD1"/>
    <w:rsid w:val="001F350B"/>
    <w:rsid w:val="001F44C3"/>
    <w:rsid w:val="001F5451"/>
    <w:rsid w:val="001F63BC"/>
    <w:rsid w:val="0020224E"/>
    <w:rsid w:val="00202287"/>
    <w:rsid w:val="00204EE1"/>
    <w:rsid w:val="00204FC8"/>
    <w:rsid w:val="00206494"/>
    <w:rsid w:val="0021173D"/>
    <w:rsid w:val="00211E6F"/>
    <w:rsid w:val="00213D38"/>
    <w:rsid w:val="00214B97"/>
    <w:rsid w:val="00215850"/>
    <w:rsid w:val="00216B1C"/>
    <w:rsid w:val="00220942"/>
    <w:rsid w:val="00220E54"/>
    <w:rsid w:val="002223A3"/>
    <w:rsid w:val="0022287E"/>
    <w:rsid w:val="00222B54"/>
    <w:rsid w:val="00230030"/>
    <w:rsid w:val="00230701"/>
    <w:rsid w:val="00231041"/>
    <w:rsid w:val="002327F2"/>
    <w:rsid w:val="002339EF"/>
    <w:rsid w:val="00235095"/>
    <w:rsid w:val="002429C0"/>
    <w:rsid w:val="002447E0"/>
    <w:rsid w:val="002467A9"/>
    <w:rsid w:val="00254719"/>
    <w:rsid w:val="00261A94"/>
    <w:rsid w:val="0026495F"/>
    <w:rsid w:val="00266CC2"/>
    <w:rsid w:val="00273E7E"/>
    <w:rsid w:val="0027460C"/>
    <w:rsid w:val="002746AA"/>
    <w:rsid w:val="00276597"/>
    <w:rsid w:val="0027754E"/>
    <w:rsid w:val="00280325"/>
    <w:rsid w:val="00285497"/>
    <w:rsid w:val="00286104"/>
    <w:rsid w:val="00292667"/>
    <w:rsid w:val="00292A01"/>
    <w:rsid w:val="00296425"/>
    <w:rsid w:val="002A0027"/>
    <w:rsid w:val="002A76E9"/>
    <w:rsid w:val="002B2E50"/>
    <w:rsid w:val="002B30E7"/>
    <w:rsid w:val="002B4438"/>
    <w:rsid w:val="002B54B7"/>
    <w:rsid w:val="002B68F8"/>
    <w:rsid w:val="002B6D46"/>
    <w:rsid w:val="002C1588"/>
    <w:rsid w:val="002C3F32"/>
    <w:rsid w:val="002D3091"/>
    <w:rsid w:val="002D4D73"/>
    <w:rsid w:val="002E035E"/>
    <w:rsid w:val="002E17C9"/>
    <w:rsid w:val="002E4333"/>
    <w:rsid w:val="002E6204"/>
    <w:rsid w:val="002E7139"/>
    <w:rsid w:val="002E7561"/>
    <w:rsid w:val="002E77A1"/>
    <w:rsid w:val="002F169A"/>
    <w:rsid w:val="002F314D"/>
    <w:rsid w:val="002F3A8B"/>
    <w:rsid w:val="002F4A6A"/>
    <w:rsid w:val="002F6259"/>
    <w:rsid w:val="002F6D59"/>
    <w:rsid w:val="00302668"/>
    <w:rsid w:val="00302F3B"/>
    <w:rsid w:val="00302F6F"/>
    <w:rsid w:val="00303301"/>
    <w:rsid w:val="003044EA"/>
    <w:rsid w:val="00305790"/>
    <w:rsid w:val="0030622A"/>
    <w:rsid w:val="0031005A"/>
    <w:rsid w:val="00310925"/>
    <w:rsid w:val="0031136B"/>
    <w:rsid w:val="003148A0"/>
    <w:rsid w:val="00315E77"/>
    <w:rsid w:val="0031655C"/>
    <w:rsid w:val="00322C2F"/>
    <w:rsid w:val="00322D11"/>
    <w:rsid w:val="003259B4"/>
    <w:rsid w:val="00327618"/>
    <w:rsid w:val="0033014D"/>
    <w:rsid w:val="00333413"/>
    <w:rsid w:val="00333C6D"/>
    <w:rsid w:val="00333E8C"/>
    <w:rsid w:val="0033430D"/>
    <w:rsid w:val="003343AA"/>
    <w:rsid w:val="003364B5"/>
    <w:rsid w:val="00340600"/>
    <w:rsid w:val="00345FEE"/>
    <w:rsid w:val="00350032"/>
    <w:rsid w:val="003505DA"/>
    <w:rsid w:val="0035187D"/>
    <w:rsid w:val="0035234F"/>
    <w:rsid w:val="00352760"/>
    <w:rsid w:val="00354EFE"/>
    <w:rsid w:val="00357157"/>
    <w:rsid w:val="00357F05"/>
    <w:rsid w:val="00360164"/>
    <w:rsid w:val="00360E56"/>
    <w:rsid w:val="00361C8C"/>
    <w:rsid w:val="00364B94"/>
    <w:rsid w:val="00364D4E"/>
    <w:rsid w:val="003655D5"/>
    <w:rsid w:val="00367A2D"/>
    <w:rsid w:val="00373FE1"/>
    <w:rsid w:val="0037451C"/>
    <w:rsid w:val="00375079"/>
    <w:rsid w:val="00375179"/>
    <w:rsid w:val="00375CDB"/>
    <w:rsid w:val="003777B0"/>
    <w:rsid w:val="00377D0A"/>
    <w:rsid w:val="00381D94"/>
    <w:rsid w:val="003838E1"/>
    <w:rsid w:val="00383E52"/>
    <w:rsid w:val="00386FBE"/>
    <w:rsid w:val="00392D8A"/>
    <w:rsid w:val="00392E2A"/>
    <w:rsid w:val="0039385D"/>
    <w:rsid w:val="00394271"/>
    <w:rsid w:val="0039523F"/>
    <w:rsid w:val="0039528F"/>
    <w:rsid w:val="00395451"/>
    <w:rsid w:val="003A0242"/>
    <w:rsid w:val="003A3F3A"/>
    <w:rsid w:val="003A6B2B"/>
    <w:rsid w:val="003A745D"/>
    <w:rsid w:val="003A7AC0"/>
    <w:rsid w:val="003B1EE7"/>
    <w:rsid w:val="003B3237"/>
    <w:rsid w:val="003B3B80"/>
    <w:rsid w:val="003B629F"/>
    <w:rsid w:val="003B770B"/>
    <w:rsid w:val="003C29E8"/>
    <w:rsid w:val="003C42BC"/>
    <w:rsid w:val="003C7140"/>
    <w:rsid w:val="003C799C"/>
    <w:rsid w:val="003C7EA1"/>
    <w:rsid w:val="003D11F7"/>
    <w:rsid w:val="003D1CFF"/>
    <w:rsid w:val="003D227F"/>
    <w:rsid w:val="003D4A22"/>
    <w:rsid w:val="003D55D9"/>
    <w:rsid w:val="003D5AB9"/>
    <w:rsid w:val="003D5E5B"/>
    <w:rsid w:val="003D6550"/>
    <w:rsid w:val="003E1D4E"/>
    <w:rsid w:val="003E5954"/>
    <w:rsid w:val="003E5B42"/>
    <w:rsid w:val="003E7D45"/>
    <w:rsid w:val="003F0852"/>
    <w:rsid w:val="003F19EF"/>
    <w:rsid w:val="003F6AB7"/>
    <w:rsid w:val="003F7EDB"/>
    <w:rsid w:val="00401800"/>
    <w:rsid w:val="00401A7E"/>
    <w:rsid w:val="00403165"/>
    <w:rsid w:val="00414A32"/>
    <w:rsid w:val="0041523E"/>
    <w:rsid w:val="004156E6"/>
    <w:rsid w:val="00415DD4"/>
    <w:rsid w:val="00415F34"/>
    <w:rsid w:val="0042205E"/>
    <w:rsid w:val="00423A03"/>
    <w:rsid w:val="00425CE3"/>
    <w:rsid w:val="00431204"/>
    <w:rsid w:val="0043136B"/>
    <w:rsid w:val="004327CB"/>
    <w:rsid w:val="0043741D"/>
    <w:rsid w:val="00440961"/>
    <w:rsid w:val="0044105D"/>
    <w:rsid w:val="0044262E"/>
    <w:rsid w:val="004431DB"/>
    <w:rsid w:val="0044419A"/>
    <w:rsid w:val="00444829"/>
    <w:rsid w:val="004456F5"/>
    <w:rsid w:val="004507CE"/>
    <w:rsid w:val="00450CCF"/>
    <w:rsid w:val="00452EEF"/>
    <w:rsid w:val="0045543E"/>
    <w:rsid w:val="00456D35"/>
    <w:rsid w:val="004576F2"/>
    <w:rsid w:val="00463E72"/>
    <w:rsid w:val="004766BD"/>
    <w:rsid w:val="00476892"/>
    <w:rsid w:val="00477933"/>
    <w:rsid w:val="00477E03"/>
    <w:rsid w:val="004821A5"/>
    <w:rsid w:val="0048290F"/>
    <w:rsid w:val="00486451"/>
    <w:rsid w:val="00487D00"/>
    <w:rsid w:val="00490E04"/>
    <w:rsid w:val="004931A4"/>
    <w:rsid w:val="00494453"/>
    <w:rsid w:val="00496CAB"/>
    <w:rsid w:val="0049771A"/>
    <w:rsid w:val="004A0009"/>
    <w:rsid w:val="004A3EB3"/>
    <w:rsid w:val="004A4D80"/>
    <w:rsid w:val="004A69F7"/>
    <w:rsid w:val="004B143E"/>
    <w:rsid w:val="004B420E"/>
    <w:rsid w:val="004B4491"/>
    <w:rsid w:val="004B4930"/>
    <w:rsid w:val="004B53AD"/>
    <w:rsid w:val="004B5740"/>
    <w:rsid w:val="004C176E"/>
    <w:rsid w:val="004D2A76"/>
    <w:rsid w:val="004D4B2A"/>
    <w:rsid w:val="004D6473"/>
    <w:rsid w:val="004D6908"/>
    <w:rsid w:val="004E15A0"/>
    <w:rsid w:val="004E177E"/>
    <w:rsid w:val="004E19BD"/>
    <w:rsid w:val="004E1A69"/>
    <w:rsid w:val="004E3F0A"/>
    <w:rsid w:val="004E50C7"/>
    <w:rsid w:val="004E6F7C"/>
    <w:rsid w:val="004F05BE"/>
    <w:rsid w:val="004F1799"/>
    <w:rsid w:val="004F30E7"/>
    <w:rsid w:val="004F6402"/>
    <w:rsid w:val="005047B6"/>
    <w:rsid w:val="00505156"/>
    <w:rsid w:val="00510BAA"/>
    <w:rsid w:val="0051466B"/>
    <w:rsid w:val="0051552D"/>
    <w:rsid w:val="00515F0A"/>
    <w:rsid w:val="00516852"/>
    <w:rsid w:val="00517AFA"/>
    <w:rsid w:val="00517CB3"/>
    <w:rsid w:val="00522DF8"/>
    <w:rsid w:val="005257CB"/>
    <w:rsid w:val="00527F04"/>
    <w:rsid w:val="005315FE"/>
    <w:rsid w:val="00533CD7"/>
    <w:rsid w:val="005349EF"/>
    <w:rsid w:val="00536104"/>
    <w:rsid w:val="005408CE"/>
    <w:rsid w:val="00541CDE"/>
    <w:rsid w:val="00541D04"/>
    <w:rsid w:val="00542976"/>
    <w:rsid w:val="00542A62"/>
    <w:rsid w:val="0054566D"/>
    <w:rsid w:val="00546E3E"/>
    <w:rsid w:val="0055269C"/>
    <w:rsid w:val="005568D1"/>
    <w:rsid w:val="0056034F"/>
    <w:rsid w:val="00562603"/>
    <w:rsid w:val="00563CD1"/>
    <w:rsid w:val="00563D88"/>
    <w:rsid w:val="005654D5"/>
    <w:rsid w:val="0056687F"/>
    <w:rsid w:val="00567547"/>
    <w:rsid w:val="005675CC"/>
    <w:rsid w:val="00567FF9"/>
    <w:rsid w:val="0057533F"/>
    <w:rsid w:val="005809AC"/>
    <w:rsid w:val="00580AF5"/>
    <w:rsid w:val="00581092"/>
    <w:rsid w:val="0058778C"/>
    <w:rsid w:val="005877D6"/>
    <w:rsid w:val="00591FEB"/>
    <w:rsid w:val="005932EB"/>
    <w:rsid w:val="005933AE"/>
    <w:rsid w:val="00594910"/>
    <w:rsid w:val="005950D6"/>
    <w:rsid w:val="005A0DEF"/>
    <w:rsid w:val="005A16EA"/>
    <w:rsid w:val="005B0664"/>
    <w:rsid w:val="005B0957"/>
    <w:rsid w:val="005B143C"/>
    <w:rsid w:val="005B2C29"/>
    <w:rsid w:val="005B764E"/>
    <w:rsid w:val="005C010B"/>
    <w:rsid w:val="005C11F0"/>
    <w:rsid w:val="005C2E5E"/>
    <w:rsid w:val="005C411B"/>
    <w:rsid w:val="005C5B32"/>
    <w:rsid w:val="005C61BD"/>
    <w:rsid w:val="005C69F2"/>
    <w:rsid w:val="005C6F31"/>
    <w:rsid w:val="005D0F16"/>
    <w:rsid w:val="005D3401"/>
    <w:rsid w:val="005D421F"/>
    <w:rsid w:val="005D7A91"/>
    <w:rsid w:val="005E6497"/>
    <w:rsid w:val="005E7788"/>
    <w:rsid w:val="005F0DF7"/>
    <w:rsid w:val="005F1FFD"/>
    <w:rsid w:val="005F3E18"/>
    <w:rsid w:val="005F3ED9"/>
    <w:rsid w:val="0060273C"/>
    <w:rsid w:val="006153C0"/>
    <w:rsid w:val="00625AA6"/>
    <w:rsid w:val="00626225"/>
    <w:rsid w:val="0062675C"/>
    <w:rsid w:val="00627BFE"/>
    <w:rsid w:val="0063139C"/>
    <w:rsid w:val="0063514C"/>
    <w:rsid w:val="006359B6"/>
    <w:rsid w:val="00636B43"/>
    <w:rsid w:val="006413F0"/>
    <w:rsid w:val="00641E29"/>
    <w:rsid w:val="006428F6"/>
    <w:rsid w:val="006441E7"/>
    <w:rsid w:val="00645F18"/>
    <w:rsid w:val="00646867"/>
    <w:rsid w:val="00646BB6"/>
    <w:rsid w:val="00647A77"/>
    <w:rsid w:val="00651D4E"/>
    <w:rsid w:val="00653F68"/>
    <w:rsid w:val="00656D16"/>
    <w:rsid w:val="00657EAA"/>
    <w:rsid w:val="00661A74"/>
    <w:rsid w:val="00663624"/>
    <w:rsid w:val="00664770"/>
    <w:rsid w:val="00665885"/>
    <w:rsid w:val="00666D99"/>
    <w:rsid w:val="00674C01"/>
    <w:rsid w:val="0067779D"/>
    <w:rsid w:val="00681870"/>
    <w:rsid w:val="00682B09"/>
    <w:rsid w:val="00683CD8"/>
    <w:rsid w:val="00684A60"/>
    <w:rsid w:val="00685E17"/>
    <w:rsid w:val="00687B73"/>
    <w:rsid w:val="00690FC3"/>
    <w:rsid w:val="00693B5D"/>
    <w:rsid w:val="0069634D"/>
    <w:rsid w:val="006A071B"/>
    <w:rsid w:val="006A17C5"/>
    <w:rsid w:val="006A4C84"/>
    <w:rsid w:val="006A6679"/>
    <w:rsid w:val="006B22CF"/>
    <w:rsid w:val="006B348D"/>
    <w:rsid w:val="006B41FA"/>
    <w:rsid w:val="006B5F9E"/>
    <w:rsid w:val="006C057C"/>
    <w:rsid w:val="006D2A8E"/>
    <w:rsid w:val="006E0178"/>
    <w:rsid w:val="006E163E"/>
    <w:rsid w:val="006E639F"/>
    <w:rsid w:val="006E7393"/>
    <w:rsid w:val="006F0748"/>
    <w:rsid w:val="006F2A9A"/>
    <w:rsid w:val="006F2D4C"/>
    <w:rsid w:val="006F4003"/>
    <w:rsid w:val="006F5249"/>
    <w:rsid w:val="006F5281"/>
    <w:rsid w:val="006F5E2E"/>
    <w:rsid w:val="006F71F2"/>
    <w:rsid w:val="00700ADF"/>
    <w:rsid w:val="00700BBD"/>
    <w:rsid w:val="0070307D"/>
    <w:rsid w:val="00704121"/>
    <w:rsid w:val="0070469F"/>
    <w:rsid w:val="00704B15"/>
    <w:rsid w:val="0070760C"/>
    <w:rsid w:val="00710A50"/>
    <w:rsid w:val="00710BF5"/>
    <w:rsid w:val="007141C4"/>
    <w:rsid w:val="007148F0"/>
    <w:rsid w:val="00716814"/>
    <w:rsid w:val="00723223"/>
    <w:rsid w:val="0072500E"/>
    <w:rsid w:val="00725C98"/>
    <w:rsid w:val="0072695E"/>
    <w:rsid w:val="00726FEB"/>
    <w:rsid w:val="0073796B"/>
    <w:rsid w:val="007425BA"/>
    <w:rsid w:val="007437AE"/>
    <w:rsid w:val="0074425F"/>
    <w:rsid w:val="0074448B"/>
    <w:rsid w:val="007517F2"/>
    <w:rsid w:val="00761B1F"/>
    <w:rsid w:val="0078215B"/>
    <w:rsid w:val="007824C6"/>
    <w:rsid w:val="00782E0D"/>
    <w:rsid w:val="00785A3B"/>
    <w:rsid w:val="00787DB0"/>
    <w:rsid w:val="007900E2"/>
    <w:rsid w:val="0079011C"/>
    <w:rsid w:val="0079126C"/>
    <w:rsid w:val="007965FD"/>
    <w:rsid w:val="007A35F2"/>
    <w:rsid w:val="007A3B17"/>
    <w:rsid w:val="007A4927"/>
    <w:rsid w:val="007A5903"/>
    <w:rsid w:val="007A7A3A"/>
    <w:rsid w:val="007B29C5"/>
    <w:rsid w:val="007B2CDA"/>
    <w:rsid w:val="007B4131"/>
    <w:rsid w:val="007B518A"/>
    <w:rsid w:val="007C0288"/>
    <w:rsid w:val="007C15A9"/>
    <w:rsid w:val="007C3A92"/>
    <w:rsid w:val="007C4D2F"/>
    <w:rsid w:val="007C5203"/>
    <w:rsid w:val="007C6592"/>
    <w:rsid w:val="007C6FD3"/>
    <w:rsid w:val="007D0F41"/>
    <w:rsid w:val="007D124E"/>
    <w:rsid w:val="007D260F"/>
    <w:rsid w:val="007D3781"/>
    <w:rsid w:val="007D44C2"/>
    <w:rsid w:val="007D4FE2"/>
    <w:rsid w:val="007D5DB1"/>
    <w:rsid w:val="007E1B21"/>
    <w:rsid w:val="007E36C0"/>
    <w:rsid w:val="007E6F2B"/>
    <w:rsid w:val="007F1711"/>
    <w:rsid w:val="007F2119"/>
    <w:rsid w:val="007F3084"/>
    <w:rsid w:val="007F5511"/>
    <w:rsid w:val="007F5D4F"/>
    <w:rsid w:val="007F7907"/>
    <w:rsid w:val="007F7C71"/>
    <w:rsid w:val="008023E8"/>
    <w:rsid w:val="00806F7C"/>
    <w:rsid w:val="00812BA8"/>
    <w:rsid w:val="00813F90"/>
    <w:rsid w:val="00815FBC"/>
    <w:rsid w:val="008170C4"/>
    <w:rsid w:val="008202E6"/>
    <w:rsid w:val="00820B3C"/>
    <w:rsid w:val="008215F0"/>
    <w:rsid w:val="0082176C"/>
    <w:rsid w:val="00822228"/>
    <w:rsid w:val="0082635F"/>
    <w:rsid w:val="0082771F"/>
    <w:rsid w:val="00831220"/>
    <w:rsid w:val="008322AF"/>
    <w:rsid w:val="008328FC"/>
    <w:rsid w:val="0083427D"/>
    <w:rsid w:val="00834BF7"/>
    <w:rsid w:val="00836A10"/>
    <w:rsid w:val="00844090"/>
    <w:rsid w:val="00844BC0"/>
    <w:rsid w:val="00845D9F"/>
    <w:rsid w:val="0084676A"/>
    <w:rsid w:val="00853D25"/>
    <w:rsid w:val="008600FD"/>
    <w:rsid w:val="00860C66"/>
    <w:rsid w:val="00860C7F"/>
    <w:rsid w:val="008614C7"/>
    <w:rsid w:val="008710AA"/>
    <w:rsid w:val="008713C9"/>
    <w:rsid w:val="00871D35"/>
    <w:rsid w:val="00872583"/>
    <w:rsid w:val="008733D1"/>
    <w:rsid w:val="00874B09"/>
    <w:rsid w:val="0087541B"/>
    <w:rsid w:val="008779AB"/>
    <w:rsid w:val="008804A7"/>
    <w:rsid w:val="008813ED"/>
    <w:rsid w:val="00881FD2"/>
    <w:rsid w:val="00885BF0"/>
    <w:rsid w:val="00886B18"/>
    <w:rsid w:val="00886DA1"/>
    <w:rsid w:val="0089006D"/>
    <w:rsid w:val="0089190F"/>
    <w:rsid w:val="008964CA"/>
    <w:rsid w:val="0089771B"/>
    <w:rsid w:val="008A13D3"/>
    <w:rsid w:val="008A2A01"/>
    <w:rsid w:val="008A36F0"/>
    <w:rsid w:val="008A6036"/>
    <w:rsid w:val="008A661B"/>
    <w:rsid w:val="008A7C2D"/>
    <w:rsid w:val="008A7F9C"/>
    <w:rsid w:val="008B37E8"/>
    <w:rsid w:val="008B3B96"/>
    <w:rsid w:val="008B5630"/>
    <w:rsid w:val="008B67B2"/>
    <w:rsid w:val="008C06C6"/>
    <w:rsid w:val="008C0C3D"/>
    <w:rsid w:val="008C2CBB"/>
    <w:rsid w:val="008C3200"/>
    <w:rsid w:val="008C3465"/>
    <w:rsid w:val="008C46C6"/>
    <w:rsid w:val="008C6839"/>
    <w:rsid w:val="008C727F"/>
    <w:rsid w:val="008C78DD"/>
    <w:rsid w:val="008C7C20"/>
    <w:rsid w:val="008D0B99"/>
    <w:rsid w:val="008D35BD"/>
    <w:rsid w:val="008D3FE4"/>
    <w:rsid w:val="008E2EF1"/>
    <w:rsid w:val="008E319B"/>
    <w:rsid w:val="008E682B"/>
    <w:rsid w:val="008E7352"/>
    <w:rsid w:val="008E7932"/>
    <w:rsid w:val="008F5669"/>
    <w:rsid w:val="00905458"/>
    <w:rsid w:val="00906474"/>
    <w:rsid w:val="00911524"/>
    <w:rsid w:val="00912FED"/>
    <w:rsid w:val="00915B68"/>
    <w:rsid w:val="00916594"/>
    <w:rsid w:val="00916D23"/>
    <w:rsid w:val="00921A37"/>
    <w:rsid w:val="00923B04"/>
    <w:rsid w:val="00934150"/>
    <w:rsid w:val="009345D3"/>
    <w:rsid w:val="009347E0"/>
    <w:rsid w:val="009350E0"/>
    <w:rsid w:val="009367C5"/>
    <w:rsid w:val="009369E3"/>
    <w:rsid w:val="00937B34"/>
    <w:rsid w:val="00942083"/>
    <w:rsid w:val="009423A8"/>
    <w:rsid w:val="00942B64"/>
    <w:rsid w:val="00943BDC"/>
    <w:rsid w:val="00945B64"/>
    <w:rsid w:val="00945B6E"/>
    <w:rsid w:val="0094754C"/>
    <w:rsid w:val="0095021C"/>
    <w:rsid w:val="009542B3"/>
    <w:rsid w:val="0095494A"/>
    <w:rsid w:val="00956958"/>
    <w:rsid w:val="00961092"/>
    <w:rsid w:val="009614C3"/>
    <w:rsid w:val="009624DA"/>
    <w:rsid w:val="009624F0"/>
    <w:rsid w:val="00965D8D"/>
    <w:rsid w:val="00966481"/>
    <w:rsid w:val="00971080"/>
    <w:rsid w:val="00971F25"/>
    <w:rsid w:val="0097285F"/>
    <w:rsid w:val="009750AA"/>
    <w:rsid w:val="00977493"/>
    <w:rsid w:val="00980B6C"/>
    <w:rsid w:val="00983735"/>
    <w:rsid w:val="0098411F"/>
    <w:rsid w:val="00991DCD"/>
    <w:rsid w:val="009934E4"/>
    <w:rsid w:val="009B10A7"/>
    <w:rsid w:val="009B2B59"/>
    <w:rsid w:val="009B2B8A"/>
    <w:rsid w:val="009B3C9A"/>
    <w:rsid w:val="009B454A"/>
    <w:rsid w:val="009B6A57"/>
    <w:rsid w:val="009B7710"/>
    <w:rsid w:val="009C3FE7"/>
    <w:rsid w:val="009C48C8"/>
    <w:rsid w:val="009C4C08"/>
    <w:rsid w:val="009C502B"/>
    <w:rsid w:val="009D0E8D"/>
    <w:rsid w:val="009D1834"/>
    <w:rsid w:val="009D2DAE"/>
    <w:rsid w:val="009D62EC"/>
    <w:rsid w:val="009E13C5"/>
    <w:rsid w:val="009E159F"/>
    <w:rsid w:val="009E1CAF"/>
    <w:rsid w:val="009E5CE7"/>
    <w:rsid w:val="009E65BC"/>
    <w:rsid w:val="009E6E9D"/>
    <w:rsid w:val="009E75D8"/>
    <w:rsid w:val="009F0176"/>
    <w:rsid w:val="009F0B9A"/>
    <w:rsid w:val="009F3AB4"/>
    <w:rsid w:val="009F3C1B"/>
    <w:rsid w:val="009F508F"/>
    <w:rsid w:val="009F567E"/>
    <w:rsid w:val="009F5722"/>
    <w:rsid w:val="009F750D"/>
    <w:rsid w:val="00A00199"/>
    <w:rsid w:val="00A03557"/>
    <w:rsid w:val="00A10634"/>
    <w:rsid w:val="00A106F2"/>
    <w:rsid w:val="00A122EF"/>
    <w:rsid w:val="00A16FD3"/>
    <w:rsid w:val="00A179AF"/>
    <w:rsid w:val="00A17BD4"/>
    <w:rsid w:val="00A202B7"/>
    <w:rsid w:val="00A255C7"/>
    <w:rsid w:val="00A302E2"/>
    <w:rsid w:val="00A32C42"/>
    <w:rsid w:val="00A435D8"/>
    <w:rsid w:val="00A44A9F"/>
    <w:rsid w:val="00A51500"/>
    <w:rsid w:val="00A5218F"/>
    <w:rsid w:val="00A53F57"/>
    <w:rsid w:val="00A570CA"/>
    <w:rsid w:val="00A6132E"/>
    <w:rsid w:val="00A62BE5"/>
    <w:rsid w:val="00A63D11"/>
    <w:rsid w:val="00A66459"/>
    <w:rsid w:val="00A70962"/>
    <w:rsid w:val="00A71620"/>
    <w:rsid w:val="00A74FF5"/>
    <w:rsid w:val="00A76535"/>
    <w:rsid w:val="00A768EF"/>
    <w:rsid w:val="00A77042"/>
    <w:rsid w:val="00A771A7"/>
    <w:rsid w:val="00A77923"/>
    <w:rsid w:val="00A80DDD"/>
    <w:rsid w:val="00A82068"/>
    <w:rsid w:val="00A82E0E"/>
    <w:rsid w:val="00A86C54"/>
    <w:rsid w:val="00A86F65"/>
    <w:rsid w:val="00A9391D"/>
    <w:rsid w:val="00A94007"/>
    <w:rsid w:val="00A966A3"/>
    <w:rsid w:val="00A9698A"/>
    <w:rsid w:val="00A96AED"/>
    <w:rsid w:val="00AA0CEF"/>
    <w:rsid w:val="00AA13EF"/>
    <w:rsid w:val="00AA2E28"/>
    <w:rsid w:val="00AA33A1"/>
    <w:rsid w:val="00AA47E6"/>
    <w:rsid w:val="00AA7F52"/>
    <w:rsid w:val="00AB03A1"/>
    <w:rsid w:val="00AB2195"/>
    <w:rsid w:val="00AB2E75"/>
    <w:rsid w:val="00AB311F"/>
    <w:rsid w:val="00AB4424"/>
    <w:rsid w:val="00AB5260"/>
    <w:rsid w:val="00AB63FC"/>
    <w:rsid w:val="00AB642A"/>
    <w:rsid w:val="00AB6979"/>
    <w:rsid w:val="00AC1C9B"/>
    <w:rsid w:val="00AC7B71"/>
    <w:rsid w:val="00AD0EB1"/>
    <w:rsid w:val="00AD16F8"/>
    <w:rsid w:val="00AD4A00"/>
    <w:rsid w:val="00AD5461"/>
    <w:rsid w:val="00AD6CBB"/>
    <w:rsid w:val="00AD6DC7"/>
    <w:rsid w:val="00AD78C9"/>
    <w:rsid w:val="00AD7F28"/>
    <w:rsid w:val="00AE08A8"/>
    <w:rsid w:val="00AE3F91"/>
    <w:rsid w:val="00AE6599"/>
    <w:rsid w:val="00AE6832"/>
    <w:rsid w:val="00AE73A2"/>
    <w:rsid w:val="00AE7679"/>
    <w:rsid w:val="00AE7B61"/>
    <w:rsid w:val="00AF0077"/>
    <w:rsid w:val="00AF2E81"/>
    <w:rsid w:val="00AF34EC"/>
    <w:rsid w:val="00AF4B92"/>
    <w:rsid w:val="00AF4D04"/>
    <w:rsid w:val="00AF6783"/>
    <w:rsid w:val="00B03E93"/>
    <w:rsid w:val="00B05853"/>
    <w:rsid w:val="00B117CE"/>
    <w:rsid w:val="00B11C1C"/>
    <w:rsid w:val="00B1586F"/>
    <w:rsid w:val="00B20C42"/>
    <w:rsid w:val="00B21D81"/>
    <w:rsid w:val="00B22D86"/>
    <w:rsid w:val="00B256B8"/>
    <w:rsid w:val="00B31F3F"/>
    <w:rsid w:val="00B32C0E"/>
    <w:rsid w:val="00B32E5C"/>
    <w:rsid w:val="00B33693"/>
    <w:rsid w:val="00B34372"/>
    <w:rsid w:val="00B35843"/>
    <w:rsid w:val="00B35FD3"/>
    <w:rsid w:val="00B4678B"/>
    <w:rsid w:val="00B545A9"/>
    <w:rsid w:val="00B55971"/>
    <w:rsid w:val="00B55C64"/>
    <w:rsid w:val="00B56448"/>
    <w:rsid w:val="00B610B0"/>
    <w:rsid w:val="00B61A9A"/>
    <w:rsid w:val="00B66393"/>
    <w:rsid w:val="00B66AFB"/>
    <w:rsid w:val="00B678CC"/>
    <w:rsid w:val="00B716A8"/>
    <w:rsid w:val="00B71927"/>
    <w:rsid w:val="00B71A51"/>
    <w:rsid w:val="00B7411F"/>
    <w:rsid w:val="00B755C1"/>
    <w:rsid w:val="00B76045"/>
    <w:rsid w:val="00B76DF8"/>
    <w:rsid w:val="00B84AC0"/>
    <w:rsid w:val="00B90EEE"/>
    <w:rsid w:val="00B96106"/>
    <w:rsid w:val="00BA1EE1"/>
    <w:rsid w:val="00BA4A08"/>
    <w:rsid w:val="00BA57D8"/>
    <w:rsid w:val="00BA5EDF"/>
    <w:rsid w:val="00BB326C"/>
    <w:rsid w:val="00BB3DAF"/>
    <w:rsid w:val="00BB5F05"/>
    <w:rsid w:val="00BB66E5"/>
    <w:rsid w:val="00BC0896"/>
    <w:rsid w:val="00BC5005"/>
    <w:rsid w:val="00BC6EB7"/>
    <w:rsid w:val="00BD1FF2"/>
    <w:rsid w:val="00BD3862"/>
    <w:rsid w:val="00BD4A27"/>
    <w:rsid w:val="00BE5261"/>
    <w:rsid w:val="00BE65BD"/>
    <w:rsid w:val="00BE6849"/>
    <w:rsid w:val="00BE7F8F"/>
    <w:rsid w:val="00BF096F"/>
    <w:rsid w:val="00BF1E47"/>
    <w:rsid w:val="00BF2372"/>
    <w:rsid w:val="00BF2951"/>
    <w:rsid w:val="00BF4F11"/>
    <w:rsid w:val="00BF5BEC"/>
    <w:rsid w:val="00BF5FC1"/>
    <w:rsid w:val="00C01BE3"/>
    <w:rsid w:val="00C01C30"/>
    <w:rsid w:val="00C05841"/>
    <w:rsid w:val="00C06BE8"/>
    <w:rsid w:val="00C122EF"/>
    <w:rsid w:val="00C12A8B"/>
    <w:rsid w:val="00C13ACD"/>
    <w:rsid w:val="00C151F4"/>
    <w:rsid w:val="00C15FFE"/>
    <w:rsid w:val="00C16092"/>
    <w:rsid w:val="00C20189"/>
    <w:rsid w:val="00C20F8A"/>
    <w:rsid w:val="00C2191D"/>
    <w:rsid w:val="00C2234A"/>
    <w:rsid w:val="00C230DD"/>
    <w:rsid w:val="00C23ED3"/>
    <w:rsid w:val="00C279E0"/>
    <w:rsid w:val="00C3381F"/>
    <w:rsid w:val="00C34EA0"/>
    <w:rsid w:val="00C418FF"/>
    <w:rsid w:val="00C423FA"/>
    <w:rsid w:val="00C429CE"/>
    <w:rsid w:val="00C42BB9"/>
    <w:rsid w:val="00C44B08"/>
    <w:rsid w:val="00C4735E"/>
    <w:rsid w:val="00C5081D"/>
    <w:rsid w:val="00C514C7"/>
    <w:rsid w:val="00C546C3"/>
    <w:rsid w:val="00C57B28"/>
    <w:rsid w:val="00C57BAB"/>
    <w:rsid w:val="00C610D9"/>
    <w:rsid w:val="00C62B71"/>
    <w:rsid w:val="00C679C6"/>
    <w:rsid w:val="00C700BF"/>
    <w:rsid w:val="00C71B43"/>
    <w:rsid w:val="00C73D1A"/>
    <w:rsid w:val="00C81495"/>
    <w:rsid w:val="00C83318"/>
    <w:rsid w:val="00C84C82"/>
    <w:rsid w:val="00C8662A"/>
    <w:rsid w:val="00C90D46"/>
    <w:rsid w:val="00C90EF3"/>
    <w:rsid w:val="00C91BE4"/>
    <w:rsid w:val="00CA1267"/>
    <w:rsid w:val="00CA7391"/>
    <w:rsid w:val="00CB0071"/>
    <w:rsid w:val="00CB1B1C"/>
    <w:rsid w:val="00CB27D9"/>
    <w:rsid w:val="00CB36ED"/>
    <w:rsid w:val="00CB47C1"/>
    <w:rsid w:val="00CB5565"/>
    <w:rsid w:val="00CC2866"/>
    <w:rsid w:val="00CC3EF7"/>
    <w:rsid w:val="00CC46FE"/>
    <w:rsid w:val="00CC4A2C"/>
    <w:rsid w:val="00CC4DE8"/>
    <w:rsid w:val="00CC4DFE"/>
    <w:rsid w:val="00CC51A5"/>
    <w:rsid w:val="00CD0CDF"/>
    <w:rsid w:val="00CD12CA"/>
    <w:rsid w:val="00CD1440"/>
    <w:rsid w:val="00CD2519"/>
    <w:rsid w:val="00CD3B45"/>
    <w:rsid w:val="00CD451E"/>
    <w:rsid w:val="00CD6B7C"/>
    <w:rsid w:val="00CE1438"/>
    <w:rsid w:val="00CE31A3"/>
    <w:rsid w:val="00CE48C5"/>
    <w:rsid w:val="00CE590B"/>
    <w:rsid w:val="00CE67DA"/>
    <w:rsid w:val="00CF0929"/>
    <w:rsid w:val="00CF4DFF"/>
    <w:rsid w:val="00CF537E"/>
    <w:rsid w:val="00CF6734"/>
    <w:rsid w:val="00D00699"/>
    <w:rsid w:val="00D06206"/>
    <w:rsid w:val="00D129D5"/>
    <w:rsid w:val="00D1374B"/>
    <w:rsid w:val="00D150BC"/>
    <w:rsid w:val="00D22933"/>
    <w:rsid w:val="00D23056"/>
    <w:rsid w:val="00D30432"/>
    <w:rsid w:val="00D309C2"/>
    <w:rsid w:val="00D3110F"/>
    <w:rsid w:val="00D31386"/>
    <w:rsid w:val="00D31580"/>
    <w:rsid w:val="00D322EE"/>
    <w:rsid w:val="00D3278D"/>
    <w:rsid w:val="00D3748D"/>
    <w:rsid w:val="00D403E4"/>
    <w:rsid w:val="00D4206C"/>
    <w:rsid w:val="00D450DB"/>
    <w:rsid w:val="00D454A8"/>
    <w:rsid w:val="00D45EE9"/>
    <w:rsid w:val="00D47C4D"/>
    <w:rsid w:val="00D60352"/>
    <w:rsid w:val="00D606FE"/>
    <w:rsid w:val="00D62E1E"/>
    <w:rsid w:val="00D6430B"/>
    <w:rsid w:val="00D644C4"/>
    <w:rsid w:val="00D649B8"/>
    <w:rsid w:val="00D655EA"/>
    <w:rsid w:val="00D67794"/>
    <w:rsid w:val="00D70E2D"/>
    <w:rsid w:val="00D73089"/>
    <w:rsid w:val="00D7387B"/>
    <w:rsid w:val="00D74857"/>
    <w:rsid w:val="00D74ABF"/>
    <w:rsid w:val="00D760A6"/>
    <w:rsid w:val="00D7781F"/>
    <w:rsid w:val="00D81515"/>
    <w:rsid w:val="00D81683"/>
    <w:rsid w:val="00D83966"/>
    <w:rsid w:val="00D83ABE"/>
    <w:rsid w:val="00D937FD"/>
    <w:rsid w:val="00D960E0"/>
    <w:rsid w:val="00D96EE2"/>
    <w:rsid w:val="00DA03E5"/>
    <w:rsid w:val="00DA5286"/>
    <w:rsid w:val="00DA5C5A"/>
    <w:rsid w:val="00DB0A42"/>
    <w:rsid w:val="00DB1256"/>
    <w:rsid w:val="00DB4558"/>
    <w:rsid w:val="00DB47F3"/>
    <w:rsid w:val="00DB72FB"/>
    <w:rsid w:val="00DC0385"/>
    <w:rsid w:val="00DC4858"/>
    <w:rsid w:val="00DC6BDE"/>
    <w:rsid w:val="00DC6C42"/>
    <w:rsid w:val="00DD262D"/>
    <w:rsid w:val="00DD348B"/>
    <w:rsid w:val="00DD4CC6"/>
    <w:rsid w:val="00DD6477"/>
    <w:rsid w:val="00DD6F08"/>
    <w:rsid w:val="00DD7D6E"/>
    <w:rsid w:val="00DE14B0"/>
    <w:rsid w:val="00DE2385"/>
    <w:rsid w:val="00DE3F13"/>
    <w:rsid w:val="00DE420C"/>
    <w:rsid w:val="00DE7AC3"/>
    <w:rsid w:val="00DF266A"/>
    <w:rsid w:val="00DF2888"/>
    <w:rsid w:val="00DF2DE9"/>
    <w:rsid w:val="00DF4380"/>
    <w:rsid w:val="00DF5021"/>
    <w:rsid w:val="00DF50A9"/>
    <w:rsid w:val="00DF5FDD"/>
    <w:rsid w:val="00DF6768"/>
    <w:rsid w:val="00DF7934"/>
    <w:rsid w:val="00E013ED"/>
    <w:rsid w:val="00E01548"/>
    <w:rsid w:val="00E01D32"/>
    <w:rsid w:val="00E0611A"/>
    <w:rsid w:val="00E0739D"/>
    <w:rsid w:val="00E103B4"/>
    <w:rsid w:val="00E13ACA"/>
    <w:rsid w:val="00E17578"/>
    <w:rsid w:val="00E20BA2"/>
    <w:rsid w:val="00E245E4"/>
    <w:rsid w:val="00E26126"/>
    <w:rsid w:val="00E26295"/>
    <w:rsid w:val="00E269FA"/>
    <w:rsid w:val="00E2728A"/>
    <w:rsid w:val="00E32BE3"/>
    <w:rsid w:val="00E400C3"/>
    <w:rsid w:val="00E404B1"/>
    <w:rsid w:val="00E40D97"/>
    <w:rsid w:val="00E40E03"/>
    <w:rsid w:val="00E44536"/>
    <w:rsid w:val="00E447F8"/>
    <w:rsid w:val="00E44E93"/>
    <w:rsid w:val="00E467FE"/>
    <w:rsid w:val="00E5313A"/>
    <w:rsid w:val="00E56569"/>
    <w:rsid w:val="00E57802"/>
    <w:rsid w:val="00E609AA"/>
    <w:rsid w:val="00E671A3"/>
    <w:rsid w:val="00E70859"/>
    <w:rsid w:val="00E74505"/>
    <w:rsid w:val="00E74FD4"/>
    <w:rsid w:val="00E7504F"/>
    <w:rsid w:val="00E75C8B"/>
    <w:rsid w:val="00E7650F"/>
    <w:rsid w:val="00E765F3"/>
    <w:rsid w:val="00E7797E"/>
    <w:rsid w:val="00E80E75"/>
    <w:rsid w:val="00E82B25"/>
    <w:rsid w:val="00E82E9C"/>
    <w:rsid w:val="00E849F2"/>
    <w:rsid w:val="00E87D51"/>
    <w:rsid w:val="00E91705"/>
    <w:rsid w:val="00E956E8"/>
    <w:rsid w:val="00E968E3"/>
    <w:rsid w:val="00E97460"/>
    <w:rsid w:val="00EA1B9D"/>
    <w:rsid w:val="00EA2B81"/>
    <w:rsid w:val="00EA4A17"/>
    <w:rsid w:val="00EA5C4C"/>
    <w:rsid w:val="00EA7684"/>
    <w:rsid w:val="00EA7762"/>
    <w:rsid w:val="00EB3E3F"/>
    <w:rsid w:val="00EB539A"/>
    <w:rsid w:val="00EB695A"/>
    <w:rsid w:val="00EB6AA8"/>
    <w:rsid w:val="00EC1C5B"/>
    <w:rsid w:val="00EC29BD"/>
    <w:rsid w:val="00EC5AF1"/>
    <w:rsid w:val="00EC607A"/>
    <w:rsid w:val="00EC7FBA"/>
    <w:rsid w:val="00ED00CB"/>
    <w:rsid w:val="00ED04F2"/>
    <w:rsid w:val="00ED6A15"/>
    <w:rsid w:val="00ED6DF6"/>
    <w:rsid w:val="00ED77B6"/>
    <w:rsid w:val="00ED7878"/>
    <w:rsid w:val="00EE1176"/>
    <w:rsid w:val="00EE5F4D"/>
    <w:rsid w:val="00EE7E54"/>
    <w:rsid w:val="00EF1BB1"/>
    <w:rsid w:val="00EF2D22"/>
    <w:rsid w:val="00EF37F5"/>
    <w:rsid w:val="00EF38CF"/>
    <w:rsid w:val="00EF69EF"/>
    <w:rsid w:val="00EF76E5"/>
    <w:rsid w:val="00F00F45"/>
    <w:rsid w:val="00F018E2"/>
    <w:rsid w:val="00F02724"/>
    <w:rsid w:val="00F03674"/>
    <w:rsid w:val="00F05236"/>
    <w:rsid w:val="00F10060"/>
    <w:rsid w:val="00F10376"/>
    <w:rsid w:val="00F1128E"/>
    <w:rsid w:val="00F15347"/>
    <w:rsid w:val="00F1774F"/>
    <w:rsid w:val="00F17B58"/>
    <w:rsid w:val="00F22010"/>
    <w:rsid w:val="00F237DE"/>
    <w:rsid w:val="00F24EB0"/>
    <w:rsid w:val="00F30771"/>
    <w:rsid w:val="00F30A6A"/>
    <w:rsid w:val="00F32242"/>
    <w:rsid w:val="00F33695"/>
    <w:rsid w:val="00F35D35"/>
    <w:rsid w:val="00F371FE"/>
    <w:rsid w:val="00F3734A"/>
    <w:rsid w:val="00F4010C"/>
    <w:rsid w:val="00F40761"/>
    <w:rsid w:val="00F420C6"/>
    <w:rsid w:val="00F45464"/>
    <w:rsid w:val="00F46202"/>
    <w:rsid w:val="00F503E1"/>
    <w:rsid w:val="00F5311E"/>
    <w:rsid w:val="00F536DF"/>
    <w:rsid w:val="00F5447C"/>
    <w:rsid w:val="00F561B7"/>
    <w:rsid w:val="00F567E0"/>
    <w:rsid w:val="00F57EF0"/>
    <w:rsid w:val="00F600CD"/>
    <w:rsid w:val="00F612B6"/>
    <w:rsid w:val="00F6145C"/>
    <w:rsid w:val="00F6287A"/>
    <w:rsid w:val="00F64B1E"/>
    <w:rsid w:val="00F65B6A"/>
    <w:rsid w:val="00F66A08"/>
    <w:rsid w:val="00F66E65"/>
    <w:rsid w:val="00F6777A"/>
    <w:rsid w:val="00F70705"/>
    <w:rsid w:val="00F74963"/>
    <w:rsid w:val="00F77361"/>
    <w:rsid w:val="00F80B3B"/>
    <w:rsid w:val="00F8510D"/>
    <w:rsid w:val="00F8554C"/>
    <w:rsid w:val="00F866DB"/>
    <w:rsid w:val="00F87133"/>
    <w:rsid w:val="00F91A4C"/>
    <w:rsid w:val="00F93720"/>
    <w:rsid w:val="00F94978"/>
    <w:rsid w:val="00F95AF3"/>
    <w:rsid w:val="00FA02BA"/>
    <w:rsid w:val="00FA2311"/>
    <w:rsid w:val="00FA2831"/>
    <w:rsid w:val="00FA3516"/>
    <w:rsid w:val="00FA4509"/>
    <w:rsid w:val="00FB21C1"/>
    <w:rsid w:val="00FB6E40"/>
    <w:rsid w:val="00FC75DE"/>
    <w:rsid w:val="00FD2CCF"/>
    <w:rsid w:val="00FD39B8"/>
    <w:rsid w:val="00FD3C37"/>
    <w:rsid w:val="00FD521A"/>
    <w:rsid w:val="00FD68D6"/>
    <w:rsid w:val="00FD730E"/>
    <w:rsid w:val="00FE23D1"/>
    <w:rsid w:val="00FE478D"/>
    <w:rsid w:val="00FE507C"/>
    <w:rsid w:val="00FE5846"/>
    <w:rsid w:val="00FE7AB1"/>
    <w:rsid w:val="00FE7C47"/>
    <w:rsid w:val="00FF0581"/>
    <w:rsid w:val="00FF2C2A"/>
    <w:rsid w:val="00FF4AE2"/>
    <w:rsid w:val="00FF5EFF"/>
    <w:rsid w:val="00FF715D"/>
    <w:rsid w:val="22DA2D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iPriority="99" w:name="footnote text"/>
    <w:lsdException w:unhideWhenUsed="0" w:uiPriority="0" w:semiHidden="0"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99"/>
    <w:pPr>
      <w:keepNext/>
      <w:keepLines/>
      <w:spacing w:before="340" w:after="330" w:line="578" w:lineRule="auto"/>
      <w:outlineLvl w:val="0"/>
    </w:pPr>
    <w:rPr>
      <w:b/>
      <w:bCs/>
      <w:kern w:val="44"/>
      <w:sz w:val="44"/>
      <w:szCs w:val="44"/>
    </w:rPr>
  </w:style>
  <w:style w:type="paragraph" w:styleId="3">
    <w:name w:val="heading 2"/>
    <w:basedOn w:val="1"/>
    <w:next w:val="4"/>
    <w:link w:val="32"/>
    <w:qFormat/>
    <w:uiPriority w:val="9"/>
    <w:pPr>
      <w:keepNext/>
      <w:keepLines/>
      <w:numPr>
        <w:ilvl w:val="1"/>
        <w:numId w:val="1"/>
      </w:numPr>
      <w:spacing w:before="50"/>
      <w:jc w:val="left"/>
      <w:outlineLvl w:val="1"/>
    </w:pPr>
    <w:rPr>
      <w:rFonts w:ascii="Arial" w:hAnsi="Arial" w:eastAsia="黑体"/>
      <w:sz w:val="32"/>
      <w:szCs w:val="20"/>
    </w:rPr>
  </w:style>
  <w:style w:type="paragraph" w:styleId="5">
    <w:name w:val="heading 3"/>
    <w:basedOn w:val="1"/>
    <w:next w:val="4"/>
    <w:link w:val="33"/>
    <w:qFormat/>
    <w:uiPriority w:val="0"/>
    <w:pPr>
      <w:keepNext/>
      <w:keepLines/>
      <w:numPr>
        <w:ilvl w:val="2"/>
        <w:numId w:val="1"/>
      </w:numPr>
      <w:spacing w:before="50"/>
      <w:outlineLvl w:val="2"/>
    </w:pPr>
    <w:rPr>
      <w:rFonts w:ascii="Arial" w:hAnsi="Arial" w:eastAsia="黑体"/>
      <w:sz w:val="30"/>
      <w:szCs w:val="30"/>
    </w:rPr>
  </w:style>
  <w:style w:type="paragraph" w:styleId="6">
    <w:name w:val="heading 4"/>
    <w:next w:val="1"/>
    <w:link w:val="55"/>
    <w:qFormat/>
    <w:uiPriority w:val="0"/>
    <w:pPr>
      <w:keepNext/>
      <w:keepLines/>
      <w:tabs>
        <w:tab w:val="left" w:pos="964"/>
      </w:tabs>
      <w:spacing w:before="280" w:after="290" w:line="377" w:lineRule="auto"/>
      <w:ind w:left="964" w:hanging="964"/>
      <w:outlineLvl w:val="3"/>
    </w:pPr>
    <w:rPr>
      <w:rFonts w:ascii="Times New Roman" w:hAnsi="Times New Roman" w:eastAsia="宋体" w:cs="Times New Roman"/>
      <w:b/>
      <w:bCs/>
      <w:sz w:val="28"/>
      <w:szCs w:val="28"/>
      <w:lang w:val="en-US" w:eastAsia="zh-CN" w:bidi="ar-SA"/>
    </w:rPr>
  </w:style>
  <w:style w:type="paragraph" w:styleId="7">
    <w:name w:val="heading 5"/>
    <w:next w:val="1"/>
    <w:link w:val="56"/>
    <w:qFormat/>
    <w:uiPriority w:val="0"/>
    <w:pPr>
      <w:keepNext/>
      <w:keepLines/>
      <w:tabs>
        <w:tab w:val="left" w:pos="1008"/>
      </w:tabs>
      <w:spacing w:before="280" w:after="290" w:line="376" w:lineRule="auto"/>
      <w:ind w:left="1008" w:hanging="1008"/>
      <w:outlineLvl w:val="4"/>
    </w:pPr>
    <w:rPr>
      <w:rFonts w:ascii="Times New Roman" w:hAnsi="Times New Roman" w:eastAsia="宋体" w:cs="Times New Roman"/>
      <w:b/>
      <w:bCs/>
      <w:sz w:val="24"/>
      <w:szCs w:val="28"/>
      <w:lang w:val="en-US" w:eastAsia="zh-CN" w:bidi="ar-SA"/>
    </w:rPr>
  </w:style>
  <w:style w:type="paragraph" w:styleId="8">
    <w:name w:val="heading 6"/>
    <w:basedOn w:val="1"/>
    <w:next w:val="1"/>
    <w:link w:val="34"/>
    <w:qFormat/>
    <w:uiPriority w:val="0"/>
    <w:pPr>
      <w:keepNext/>
      <w:keepLines/>
      <w:tabs>
        <w:tab w:val="left" w:pos="2003"/>
      </w:tabs>
      <w:spacing w:before="240" w:after="64" w:line="319" w:lineRule="auto"/>
      <w:ind w:left="2003" w:firstLine="200" w:firstLineChars="200"/>
      <w:outlineLvl w:val="5"/>
    </w:pPr>
    <w:rPr>
      <w:rFonts w:ascii="Arial" w:hAnsi="Arial" w:eastAsia="黑体"/>
      <w:b/>
      <w:bCs/>
      <w:kern w:val="0"/>
      <w:sz w:val="24"/>
    </w:rPr>
  </w:style>
  <w:style w:type="paragraph" w:styleId="9">
    <w:name w:val="heading 7"/>
    <w:basedOn w:val="1"/>
    <w:next w:val="1"/>
    <w:link w:val="57"/>
    <w:qFormat/>
    <w:uiPriority w:val="0"/>
    <w:pPr>
      <w:keepNext/>
      <w:keepLines/>
      <w:tabs>
        <w:tab w:val="left" w:pos="1296"/>
      </w:tabs>
      <w:spacing w:beforeLines="50" w:afterLines="50" w:line="320" w:lineRule="auto"/>
      <w:ind w:left="1296" w:hanging="1296"/>
      <w:outlineLvl w:val="6"/>
    </w:pPr>
    <w:rPr>
      <w:b/>
      <w:bCs/>
      <w:sz w:val="24"/>
    </w:rPr>
  </w:style>
  <w:style w:type="paragraph" w:styleId="10">
    <w:name w:val="heading 8"/>
    <w:basedOn w:val="1"/>
    <w:next w:val="1"/>
    <w:link w:val="58"/>
    <w:qFormat/>
    <w:uiPriority w:val="0"/>
    <w:pPr>
      <w:keepNext/>
      <w:keepLines/>
      <w:tabs>
        <w:tab w:val="left" w:pos="1440"/>
      </w:tabs>
      <w:spacing w:beforeLines="50" w:afterLines="50" w:line="320" w:lineRule="auto"/>
      <w:ind w:left="1440" w:hanging="1440"/>
      <w:outlineLvl w:val="7"/>
    </w:pPr>
    <w:rPr>
      <w:rFonts w:ascii="Arial" w:hAnsi="Arial" w:eastAsia="黑体"/>
      <w:sz w:val="24"/>
    </w:rPr>
  </w:style>
  <w:style w:type="paragraph" w:styleId="11">
    <w:name w:val="heading 9"/>
    <w:basedOn w:val="1"/>
    <w:next w:val="1"/>
    <w:link w:val="59"/>
    <w:qFormat/>
    <w:uiPriority w:val="0"/>
    <w:pPr>
      <w:keepNext/>
      <w:keepLines/>
      <w:tabs>
        <w:tab w:val="left" w:pos="1584"/>
      </w:tabs>
      <w:spacing w:beforeLines="50" w:afterLines="50" w:line="320" w:lineRule="auto"/>
      <w:ind w:left="1584" w:hanging="1584"/>
      <w:outlineLvl w:val="8"/>
    </w:pPr>
    <w:rPr>
      <w:rFonts w:ascii="Arial" w:hAnsi="Arial" w:eastAsia="黑体"/>
      <w:sz w:val="24"/>
      <w:szCs w:val="21"/>
    </w:rPr>
  </w:style>
  <w:style w:type="character" w:default="1" w:styleId="28">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4">
    <w:name w:val="正文缩进1"/>
    <w:basedOn w:val="1"/>
    <w:uiPriority w:val="0"/>
    <w:pPr>
      <w:spacing w:before="50"/>
      <w:ind w:left="200" w:firstLine="420" w:firstLineChars="200"/>
    </w:pPr>
    <w:rPr>
      <w:sz w:val="24"/>
      <w:szCs w:val="20"/>
    </w:rPr>
  </w:style>
  <w:style w:type="paragraph" w:styleId="12">
    <w:name w:val="Normal Indent"/>
    <w:basedOn w:val="1"/>
    <w:link w:val="78"/>
    <w:uiPriority w:val="99"/>
    <w:pPr>
      <w:ind w:firstLine="420"/>
    </w:pPr>
    <w:rPr>
      <w:rFonts w:ascii="Calibri" w:hAnsi="Calibri" w:cs="黑体"/>
      <w:szCs w:val="20"/>
    </w:rPr>
  </w:style>
  <w:style w:type="paragraph" w:styleId="13">
    <w:name w:val="Document Map"/>
    <w:basedOn w:val="1"/>
    <w:link w:val="42"/>
    <w:semiHidden/>
    <w:unhideWhenUsed/>
    <w:uiPriority w:val="99"/>
    <w:rPr>
      <w:rFonts w:ascii="宋体"/>
      <w:sz w:val="18"/>
      <w:szCs w:val="18"/>
    </w:rPr>
  </w:style>
  <w:style w:type="paragraph" w:styleId="14">
    <w:name w:val="annotation text"/>
    <w:basedOn w:val="1"/>
    <w:link w:val="71"/>
    <w:uiPriority w:val="0"/>
    <w:pPr>
      <w:jc w:val="left"/>
    </w:pPr>
    <w:rPr>
      <w:szCs w:val="20"/>
    </w:rPr>
  </w:style>
  <w:style w:type="paragraph" w:styleId="15">
    <w:name w:val="Body Text"/>
    <w:basedOn w:val="1"/>
    <w:link w:val="50"/>
    <w:semiHidden/>
    <w:unhideWhenUsed/>
    <w:uiPriority w:val="99"/>
    <w:pPr>
      <w:spacing w:after="120"/>
    </w:pPr>
  </w:style>
  <w:style w:type="paragraph" w:styleId="16">
    <w:name w:val="Body Text Indent"/>
    <w:basedOn w:val="1"/>
    <w:link w:val="51"/>
    <w:semiHidden/>
    <w:unhideWhenUsed/>
    <w:uiPriority w:val="99"/>
    <w:pPr>
      <w:spacing w:after="120"/>
      <w:ind w:left="420" w:leftChars="200"/>
    </w:pPr>
  </w:style>
  <w:style w:type="paragraph" w:styleId="17">
    <w:name w:val="Plain Text"/>
    <w:basedOn w:val="1"/>
    <w:link w:val="43"/>
    <w:uiPriority w:val="0"/>
    <w:rPr>
      <w:rFonts w:ascii="楷体_GB2312" w:hAnsi="微软雅黑" w:eastAsia="楷体_GB2312"/>
      <w:szCs w:val="20"/>
    </w:rPr>
  </w:style>
  <w:style w:type="paragraph" w:styleId="18">
    <w:name w:val="Date"/>
    <w:basedOn w:val="1"/>
    <w:next w:val="1"/>
    <w:link w:val="37"/>
    <w:uiPriority w:val="0"/>
    <w:pPr>
      <w:spacing w:before="50"/>
      <w:ind w:left="200" w:firstLine="200" w:firstLineChars="200"/>
    </w:pPr>
    <w:rPr>
      <w:kern w:val="0"/>
      <w:sz w:val="24"/>
      <w:szCs w:val="20"/>
    </w:rPr>
  </w:style>
  <w:style w:type="paragraph" w:styleId="19">
    <w:name w:val="Body Text Indent 2"/>
    <w:basedOn w:val="1"/>
    <w:link w:val="36"/>
    <w:uiPriority w:val="0"/>
    <w:pPr>
      <w:adjustRightInd w:val="0"/>
      <w:snapToGrid w:val="0"/>
      <w:spacing w:line="312" w:lineRule="auto"/>
      <w:ind w:firstLine="397"/>
    </w:pPr>
    <w:rPr>
      <w:rFonts w:ascii="楷体_GB2312" w:eastAsia="楷体_GB2312"/>
      <w:kern w:val="0"/>
      <w:sz w:val="24"/>
      <w:szCs w:val="20"/>
    </w:rPr>
  </w:style>
  <w:style w:type="paragraph" w:styleId="20">
    <w:name w:val="Balloon Text"/>
    <w:basedOn w:val="1"/>
    <w:link w:val="62"/>
    <w:semiHidden/>
    <w:unhideWhenUsed/>
    <w:uiPriority w:val="99"/>
    <w:rPr>
      <w:sz w:val="18"/>
      <w:szCs w:val="18"/>
    </w:rPr>
  </w:style>
  <w:style w:type="paragraph" w:styleId="21">
    <w:name w:val="footer"/>
    <w:basedOn w:val="1"/>
    <w:link w:val="40"/>
    <w:unhideWhenUsed/>
    <w:uiPriority w:val="0"/>
    <w:pPr>
      <w:tabs>
        <w:tab w:val="center" w:pos="4153"/>
        <w:tab w:val="right" w:pos="8306"/>
      </w:tabs>
      <w:snapToGrid w:val="0"/>
      <w:jc w:val="left"/>
    </w:pPr>
    <w:rPr>
      <w:kern w:val="0"/>
      <w:sz w:val="18"/>
      <w:szCs w:val="18"/>
    </w:rPr>
  </w:style>
  <w:style w:type="paragraph" w:styleId="22">
    <w:name w:val="header"/>
    <w:basedOn w:val="1"/>
    <w:link w:val="39"/>
    <w:unhideWhenUsed/>
    <w:uiPriority w:val="0"/>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autoRedefine/>
    <w:uiPriority w:val="39"/>
    <w:pPr>
      <w:tabs>
        <w:tab w:val="left" w:pos="1260"/>
        <w:tab w:val="right" w:leader="dot" w:pos="8302"/>
      </w:tabs>
      <w:spacing w:beforeLines="50" w:afterLines="50" w:line="360" w:lineRule="auto"/>
      <w:ind w:firstLine="420" w:firstLineChars="200"/>
      <w:jc w:val="left"/>
    </w:pPr>
    <w:rPr>
      <w:rFonts w:ascii="宋体" w:hAnsi="宋体" w:cs="Calibri"/>
      <w:b/>
      <w:bCs/>
      <w:caps/>
      <w:szCs w:val="21"/>
    </w:rPr>
  </w:style>
  <w:style w:type="paragraph" w:styleId="24">
    <w:name w:val="Body Text Indent 3"/>
    <w:basedOn w:val="1"/>
    <w:link w:val="35"/>
    <w:uiPriority w:val="0"/>
    <w:pPr>
      <w:adjustRightInd w:val="0"/>
      <w:snapToGrid w:val="0"/>
      <w:spacing w:line="336" w:lineRule="auto"/>
      <w:ind w:firstLine="397"/>
    </w:pPr>
    <w:rPr>
      <w:rFonts w:ascii="楷体_GB2312" w:eastAsia="楷体_GB2312"/>
      <w:b/>
      <w:bCs/>
      <w:kern w:val="0"/>
      <w:sz w:val="24"/>
      <w:szCs w:val="20"/>
    </w:rPr>
  </w:style>
  <w:style w:type="paragraph" w:styleId="25">
    <w:name w:val="toc 2"/>
    <w:basedOn w:val="1"/>
    <w:next w:val="1"/>
    <w:autoRedefine/>
    <w:uiPriority w:val="39"/>
    <w:pPr>
      <w:spacing w:beforeLines="50" w:afterLines="50" w:line="360" w:lineRule="auto"/>
      <w:ind w:left="210" w:firstLine="480" w:firstLineChars="200"/>
      <w:jc w:val="left"/>
    </w:pPr>
    <w:rPr>
      <w:rFonts w:ascii="Calibri" w:hAnsi="Calibri" w:cs="Calibri"/>
      <w:smallCaps/>
      <w:sz w:val="20"/>
      <w:szCs w:val="20"/>
    </w:rPr>
  </w:style>
  <w:style w:type="paragraph" w:styleId="26">
    <w:name w:val="Title"/>
    <w:basedOn w:val="1"/>
    <w:next w:val="1"/>
    <w:link w:val="68"/>
    <w:qFormat/>
    <w:uiPriority w:val="0"/>
    <w:pPr>
      <w:spacing w:before="240" w:after="60"/>
      <w:jc w:val="center"/>
      <w:outlineLvl w:val="0"/>
    </w:pPr>
    <w:rPr>
      <w:rFonts w:ascii="Cambria" w:hAnsi="Cambria"/>
      <w:b/>
      <w:bCs/>
      <w:sz w:val="32"/>
      <w:szCs w:val="32"/>
    </w:rPr>
  </w:style>
  <w:style w:type="character" w:styleId="29">
    <w:name w:val="page number"/>
    <w:basedOn w:val="28"/>
    <w:uiPriority w:val="0"/>
  </w:style>
  <w:style w:type="character" w:styleId="30">
    <w:name w:val="Hyperlink"/>
    <w:unhideWhenUsed/>
    <w:uiPriority w:val="99"/>
    <w:rPr>
      <w:color w:val="0000FF"/>
      <w:u w:val="single"/>
    </w:rPr>
  </w:style>
  <w:style w:type="character" w:styleId="31">
    <w:name w:val="annotation reference"/>
    <w:uiPriority w:val="0"/>
    <w:rPr>
      <w:sz w:val="21"/>
      <w:szCs w:val="21"/>
    </w:rPr>
  </w:style>
  <w:style w:type="character" w:customStyle="1" w:styleId="32">
    <w:name w:val="标题 2 Char"/>
    <w:link w:val="3"/>
    <w:uiPriority w:val="9"/>
    <w:rPr>
      <w:rFonts w:ascii="Arial" w:hAnsi="Arial" w:eastAsia="黑体"/>
      <w:kern w:val="2"/>
      <w:sz w:val="32"/>
    </w:rPr>
  </w:style>
  <w:style w:type="character" w:customStyle="1" w:styleId="33">
    <w:name w:val="标题 3 Char"/>
    <w:link w:val="5"/>
    <w:uiPriority w:val="0"/>
    <w:rPr>
      <w:rFonts w:ascii="Arial" w:hAnsi="Arial" w:eastAsia="黑体"/>
      <w:kern w:val="2"/>
      <w:sz w:val="30"/>
      <w:szCs w:val="30"/>
    </w:rPr>
  </w:style>
  <w:style w:type="character" w:customStyle="1" w:styleId="34">
    <w:name w:val="标题 6 Char"/>
    <w:link w:val="8"/>
    <w:uiPriority w:val="0"/>
    <w:rPr>
      <w:rFonts w:ascii="Arial" w:hAnsi="Arial" w:eastAsia="黑体" w:cs="Times New Roman"/>
      <w:b/>
      <w:bCs/>
      <w:sz w:val="24"/>
      <w:szCs w:val="24"/>
    </w:rPr>
  </w:style>
  <w:style w:type="character" w:customStyle="1" w:styleId="35">
    <w:name w:val="正文文本缩进 3 Char"/>
    <w:link w:val="24"/>
    <w:uiPriority w:val="0"/>
    <w:rPr>
      <w:rFonts w:ascii="楷体_GB2312" w:hAnsi="Times New Roman" w:eastAsia="楷体_GB2312" w:cs="Times New Roman"/>
      <w:b/>
      <w:bCs/>
      <w:sz w:val="24"/>
      <w:szCs w:val="20"/>
    </w:rPr>
  </w:style>
  <w:style w:type="character" w:customStyle="1" w:styleId="36">
    <w:name w:val="正文文本缩进 2 Char"/>
    <w:link w:val="19"/>
    <w:uiPriority w:val="0"/>
    <w:rPr>
      <w:rFonts w:ascii="楷体_GB2312" w:hAnsi="Times New Roman" w:eastAsia="楷体_GB2312" w:cs="Times New Roman"/>
      <w:sz w:val="24"/>
      <w:szCs w:val="20"/>
    </w:rPr>
  </w:style>
  <w:style w:type="character" w:customStyle="1" w:styleId="37">
    <w:name w:val="日期 Char"/>
    <w:link w:val="18"/>
    <w:uiPriority w:val="0"/>
    <w:rPr>
      <w:rFonts w:ascii="Times New Roman" w:hAnsi="Times New Roman" w:eastAsia="宋体" w:cs="Times New Roman"/>
      <w:sz w:val="24"/>
      <w:szCs w:val="20"/>
    </w:rPr>
  </w:style>
  <w:style w:type="character" w:customStyle="1" w:styleId="38">
    <w:name w:val="标题 1 Char"/>
    <w:link w:val="2"/>
    <w:uiPriority w:val="99"/>
    <w:rPr>
      <w:rFonts w:ascii="Times New Roman" w:hAnsi="Times New Roman" w:eastAsia="宋体" w:cs="Times New Roman"/>
      <w:b/>
      <w:bCs/>
      <w:kern w:val="44"/>
      <w:sz w:val="44"/>
      <w:szCs w:val="44"/>
    </w:rPr>
  </w:style>
  <w:style w:type="character" w:customStyle="1" w:styleId="39">
    <w:name w:val="页眉 Char"/>
    <w:link w:val="22"/>
    <w:uiPriority w:val="0"/>
    <w:rPr>
      <w:rFonts w:ascii="Times New Roman" w:hAnsi="Times New Roman" w:eastAsia="宋体" w:cs="Times New Roman"/>
      <w:sz w:val="18"/>
      <w:szCs w:val="18"/>
    </w:rPr>
  </w:style>
  <w:style w:type="character" w:customStyle="1" w:styleId="40">
    <w:name w:val="页脚 Char"/>
    <w:link w:val="21"/>
    <w:uiPriority w:val="0"/>
    <w:rPr>
      <w:rFonts w:ascii="Times New Roman" w:hAnsi="Times New Roman" w:eastAsia="宋体" w:cs="Times New Roman"/>
      <w:sz w:val="18"/>
      <w:szCs w:val="18"/>
    </w:rPr>
  </w:style>
  <w:style w:type="paragraph" w:customStyle="1" w:styleId="41">
    <w:name w:val="Char Char Char Char"/>
    <w:basedOn w:val="1"/>
    <w:uiPriority w:val="0"/>
    <w:pPr>
      <w:shd w:val="clear" w:color="auto" w:fill="000080"/>
      <w:adjustRightInd w:val="0"/>
      <w:snapToGrid w:val="0"/>
      <w:spacing w:line="360" w:lineRule="auto"/>
    </w:pPr>
    <w:rPr>
      <w:rFonts w:ascii="Tahoma" w:hAnsi="Tahoma"/>
      <w:sz w:val="24"/>
    </w:rPr>
  </w:style>
  <w:style w:type="character" w:customStyle="1" w:styleId="42">
    <w:name w:val="文档结构图 Char"/>
    <w:link w:val="13"/>
    <w:semiHidden/>
    <w:uiPriority w:val="99"/>
    <w:rPr>
      <w:rFonts w:ascii="宋体" w:hAnsi="Times New Roman"/>
      <w:kern w:val="2"/>
      <w:sz w:val="18"/>
      <w:szCs w:val="18"/>
    </w:rPr>
  </w:style>
  <w:style w:type="character" w:customStyle="1" w:styleId="43">
    <w:name w:val="纯文本 Char1"/>
    <w:link w:val="17"/>
    <w:uiPriority w:val="0"/>
    <w:rPr>
      <w:rFonts w:ascii="楷体_GB2312" w:hAnsi="微软雅黑" w:eastAsia="楷体_GB2312"/>
      <w:kern w:val="2"/>
      <w:sz w:val="21"/>
    </w:rPr>
  </w:style>
  <w:style w:type="character" w:customStyle="1" w:styleId="44">
    <w:name w:val="纯文本 Char"/>
    <w:uiPriority w:val="0"/>
    <w:rPr>
      <w:rFonts w:ascii="宋体" w:hAnsi="Courier New" w:cs="Courier New"/>
      <w:kern w:val="2"/>
      <w:sz w:val="21"/>
      <w:szCs w:val="21"/>
    </w:rPr>
  </w:style>
  <w:style w:type="paragraph" w:customStyle="1" w:styleId="45">
    <w:name w:val="样式2"/>
    <w:basedOn w:val="1"/>
    <w:uiPriority w:val="0"/>
    <w:pPr>
      <w:spacing w:line="360" w:lineRule="auto"/>
      <w:jc w:val="center"/>
    </w:pPr>
    <w:rPr>
      <w:b/>
      <w:sz w:val="32"/>
      <w:szCs w:val="32"/>
    </w:rPr>
  </w:style>
  <w:style w:type="paragraph" w:customStyle="1" w:styleId="46">
    <w:name w:val="样式4"/>
    <w:basedOn w:val="1"/>
    <w:uiPriority w:val="0"/>
    <w:rPr>
      <w:sz w:val="24"/>
    </w:rPr>
  </w:style>
  <w:style w:type="character" w:customStyle="1" w:styleId="47">
    <w:name w:val="FA正文 Char Char"/>
    <w:link w:val="48"/>
    <w:uiPriority w:val="0"/>
    <w:rPr>
      <w:rFonts w:hAnsi="宋体" w:cs="宋体"/>
      <w:kern w:val="2"/>
      <w:sz w:val="24"/>
      <w:szCs w:val="21"/>
    </w:rPr>
  </w:style>
  <w:style w:type="paragraph" w:customStyle="1" w:styleId="48">
    <w:name w:val="FA正文"/>
    <w:basedOn w:val="1"/>
    <w:link w:val="47"/>
    <w:uiPriority w:val="0"/>
    <w:pPr>
      <w:spacing w:before="156" w:after="156" w:line="360" w:lineRule="auto"/>
      <w:ind w:firstLine="360" w:firstLineChars="150"/>
    </w:pPr>
    <w:rPr>
      <w:rFonts w:ascii="Calibri" w:hAnsi="宋体"/>
      <w:sz w:val="24"/>
      <w:szCs w:val="21"/>
    </w:rPr>
  </w:style>
  <w:style w:type="paragraph" w:customStyle="1" w:styleId="49">
    <w:name w:val="FA正文bold"/>
    <w:basedOn w:val="48"/>
    <w:next w:val="48"/>
    <w:uiPriority w:val="0"/>
    <w:pPr>
      <w:keepNext/>
      <w:tabs>
        <w:tab w:val="left" w:pos="3375"/>
      </w:tabs>
      <w:ind w:firstLine="482" w:firstLineChars="200"/>
    </w:pPr>
    <w:rPr>
      <w:rFonts w:eastAsia="仿宋_GB2312"/>
      <w:b/>
      <w:szCs w:val="20"/>
    </w:rPr>
  </w:style>
  <w:style w:type="character" w:customStyle="1" w:styleId="50">
    <w:name w:val="正文文本 Char"/>
    <w:link w:val="15"/>
    <w:semiHidden/>
    <w:uiPriority w:val="99"/>
    <w:rPr>
      <w:rFonts w:ascii="Times New Roman" w:hAnsi="Times New Roman"/>
      <w:kern w:val="2"/>
      <w:sz w:val="21"/>
      <w:szCs w:val="24"/>
    </w:rPr>
  </w:style>
  <w:style w:type="character" w:customStyle="1" w:styleId="51">
    <w:name w:val="正文文本缩进 Char"/>
    <w:link w:val="16"/>
    <w:semiHidden/>
    <w:uiPriority w:val="99"/>
    <w:rPr>
      <w:rFonts w:ascii="Times New Roman" w:hAnsi="Times New Roman"/>
      <w:kern w:val="2"/>
      <w:sz w:val="21"/>
      <w:szCs w:val="24"/>
    </w:rPr>
  </w:style>
  <w:style w:type="paragraph" w:styleId="52">
    <w:name w:val="No Spacing"/>
    <w:link w:val="53"/>
    <w:qFormat/>
    <w:uiPriority w:val="1"/>
    <w:rPr>
      <w:rFonts w:ascii="Calibri" w:hAnsi="Calibri" w:eastAsia="宋体" w:cs="Times New Roman"/>
      <w:sz w:val="22"/>
      <w:szCs w:val="22"/>
      <w:lang w:val="en-US" w:eastAsia="zh-CN" w:bidi="ar-SA"/>
    </w:rPr>
  </w:style>
  <w:style w:type="character" w:customStyle="1" w:styleId="53">
    <w:name w:val="无间隔 Char"/>
    <w:link w:val="52"/>
    <w:uiPriority w:val="1"/>
    <w:rPr>
      <w:sz w:val="22"/>
      <w:szCs w:val="22"/>
      <w:lang w:val="en-US" w:eastAsia="zh-CN" w:bidi="ar-SA"/>
    </w:rPr>
  </w:style>
  <w:style w:type="paragraph" w:customStyle="1" w:styleId="54">
    <w:name w:val="Char Char Char"/>
    <w:basedOn w:val="1"/>
    <w:uiPriority w:val="0"/>
    <w:rPr>
      <w:sz w:val="24"/>
    </w:rPr>
  </w:style>
  <w:style w:type="character" w:customStyle="1" w:styleId="55">
    <w:name w:val="标题 4 Char"/>
    <w:link w:val="6"/>
    <w:uiPriority w:val="0"/>
    <w:rPr>
      <w:rFonts w:ascii="Times New Roman" w:hAnsi="Times New Roman"/>
      <w:b/>
      <w:bCs/>
      <w:sz w:val="28"/>
      <w:szCs w:val="28"/>
      <w:lang w:val="en-US" w:eastAsia="zh-CN" w:bidi="ar-SA"/>
    </w:rPr>
  </w:style>
  <w:style w:type="character" w:customStyle="1" w:styleId="56">
    <w:name w:val="标题 5 Char"/>
    <w:link w:val="7"/>
    <w:uiPriority w:val="0"/>
    <w:rPr>
      <w:rFonts w:ascii="Times New Roman" w:hAnsi="Times New Roman"/>
      <w:b/>
      <w:bCs/>
      <w:sz w:val="24"/>
      <w:szCs w:val="28"/>
      <w:lang w:val="en-US" w:eastAsia="zh-CN" w:bidi="ar-SA"/>
    </w:rPr>
  </w:style>
  <w:style w:type="character" w:customStyle="1" w:styleId="57">
    <w:name w:val="标题 7 Char"/>
    <w:link w:val="9"/>
    <w:uiPriority w:val="0"/>
    <w:rPr>
      <w:rFonts w:ascii="Times New Roman" w:hAnsi="Times New Roman"/>
      <w:b/>
      <w:bCs/>
      <w:kern w:val="2"/>
      <w:sz w:val="24"/>
      <w:szCs w:val="24"/>
    </w:rPr>
  </w:style>
  <w:style w:type="character" w:customStyle="1" w:styleId="58">
    <w:name w:val="标题 8 Char"/>
    <w:link w:val="10"/>
    <w:uiPriority w:val="0"/>
    <w:rPr>
      <w:rFonts w:ascii="Arial" w:hAnsi="Arial" w:eastAsia="黑体"/>
      <w:kern w:val="2"/>
      <w:sz w:val="24"/>
      <w:szCs w:val="24"/>
    </w:rPr>
  </w:style>
  <w:style w:type="character" w:customStyle="1" w:styleId="59">
    <w:name w:val="标题 9 Char"/>
    <w:link w:val="11"/>
    <w:uiPriority w:val="0"/>
    <w:rPr>
      <w:rFonts w:ascii="Arial" w:hAnsi="Arial" w:eastAsia="黑体"/>
      <w:kern w:val="2"/>
      <w:sz w:val="24"/>
      <w:szCs w:val="21"/>
    </w:rPr>
  </w:style>
  <w:style w:type="paragraph" w:customStyle="1" w:styleId="60">
    <w:name w:val="封面标题"/>
    <w:next w:val="1"/>
    <w:autoRedefine/>
    <w:qFormat/>
    <w:uiPriority w:val="0"/>
    <w:pPr>
      <w:spacing w:before="163" w:after="163"/>
      <w:jc w:val="center"/>
    </w:pPr>
    <w:rPr>
      <w:rFonts w:ascii="Times New Roman" w:hAnsi="Times New Roman" w:eastAsia="黑体" w:cs="Times New Roman"/>
      <w:b/>
      <w:kern w:val="2"/>
      <w:sz w:val="44"/>
      <w:szCs w:val="22"/>
      <w:lang w:val="en-US" w:eastAsia="zh-CN" w:bidi="ar-SA"/>
    </w:rPr>
  </w:style>
  <w:style w:type="paragraph" w:customStyle="1" w:styleId="61">
    <w:name w:val="列出段落1"/>
    <w:basedOn w:val="1"/>
    <w:link w:val="63"/>
    <w:qFormat/>
    <w:uiPriority w:val="34"/>
    <w:pPr>
      <w:ind w:firstLine="420" w:firstLineChars="200"/>
    </w:pPr>
  </w:style>
  <w:style w:type="character" w:customStyle="1" w:styleId="62">
    <w:name w:val="批注框文本 Char"/>
    <w:link w:val="20"/>
    <w:semiHidden/>
    <w:uiPriority w:val="99"/>
    <w:rPr>
      <w:rFonts w:ascii="Times New Roman" w:hAnsi="Times New Roman"/>
      <w:kern w:val="2"/>
      <w:sz w:val="18"/>
      <w:szCs w:val="18"/>
    </w:rPr>
  </w:style>
  <w:style w:type="character" w:customStyle="1" w:styleId="63">
    <w:name w:val="列出段落 Char"/>
    <w:link w:val="61"/>
    <w:uiPriority w:val="34"/>
    <w:rPr>
      <w:rFonts w:ascii="Times New Roman" w:hAnsi="Times New Roman"/>
      <w:kern w:val="2"/>
      <w:sz w:val="21"/>
      <w:szCs w:val="24"/>
    </w:rPr>
  </w:style>
  <w:style w:type="character" w:customStyle="1" w:styleId="64">
    <w:name w:val="正文缩进 Char1"/>
    <w:link w:val="65"/>
    <w:uiPriority w:val="0"/>
    <w:rPr>
      <w:kern w:val="2"/>
      <w:sz w:val="24"/>
      <w:szCs w:val="24"/>
    </w:rPr>
  </w:style>
  <w:style w:type="paragraph" w:customStyle="1" w:styleId="65">
    <w:name w:val="正文缩进2"/>
    <w:basedOn w:val="1"/>
    <w:link w:val="64"/>
    <w:uiPriority w:val="0"/>
    <w:pPr>
      <w:ind w:firstLine="200" w:firstLineChars="200"/>
    </w:pPr>
    <w:rPr>
      <w:rFonts w:ascii="Calibri" w:hAnsi="Calibri"/>
      <w:sz w:val="24"/>
    </w:rPr>
  </w:style>
  <w:style w:type="character" w:customStyle="1" w:styleId="66">
    <w:name w:val="样式1 Char Char"/>
    <w:link w:val="67"/>
    <w:uiPriority w:val="0"/>
    <w:rPr>
      <w:rFonts w:eastAsia="仿宋_GB2312"/>
      <w:spacing w:val="-6"/>
      <w:kern w:val="2"/>
      <w:sz w:val="32"/>
      <w:szCs w:val="24"/>
    </w:rPr>
  </w:style>
  <w:style w:type="paragraph" w:customStyle="1" w:styleId="67">
    <w:name w:val="样式1"/>
    <w:basedOn w:val="1"/>
    <w:link w:val="66"/>
    <w:uiPriority w:val="0"/>
    <w:pPr>
      <w:spacing w:line="340" w:lineRule="auto"/>
    </w:pPr>
    <w:rPr>
      <w:rFonts w:ascii="Calibri" w:hAnsi="Calibri" w:eastAsia="仿宋_GB2312"/>
      <w:spacing w:val="-6"/>
      <w:sz w:val="32"/>
    </w:rPr>
  </w:style>
  <w:style w:type="character" w:customStyle="1" w:styleId="68">
    <w:name w:val="标题 Char"/>
    <w:link w:val="26"/>
    <w:uiPriority w:val="0"/>
    <w:rPr>
      <w:rFonts w:ascii="Cambria" w:hAnsi="Cambria"/>
      <w:b/>
      <w:bCs/>
      <w:kern w:val="2"/>
      <w:sz w:val="32"/>
      <w:szCs w:val="32"/>
    </w:rPr>
  </w:style>
  <w:style w:type="character" w:customStyle="1" w:styleId="69">
    <w:name w:val="标题 Char1"/>
    <w:uiPriority w:val="10"/>
    <w:rPr>
      <w:rFonts w:ascii="Cambria" w:hAnsi="Cambria" w:cs="Times New Roman"/>
      <w:b/>
      <w:bCs/>
      <w:kern w:val="2"/>
      <w:sz w:val="32"/>
      <w:szCs w:val="32"/>
    </w:rPr>
  </w:style>
  <w:style w:type="paragraph" w:customStyle="1" w:styleId="70">
    <w:name w:val="列出段落11"/>
    <w:basedOn w:val="1"/>
    <w:qFormat/>
    <w:uiPriority w:val="34"/>
    <w:pPr>
      <w:ind w:firstLine="420" w:firstLineChars="200"/>
    </w:pPr>
    <w:rPr>
      <w:rFonts w:ascii="Calibri" w:hAnsi="Calibri"/>
      <w:szCs w:val="22"/>
    </w:rPr>
  </w:style>
  <w:style w:type="character" w:customStyle="1" w:styleId="71">
    <w:name w:val="批注文字 Char"/>
    <w:link w:val="14"/>
    <w:uiPriority w:val="0"/>
    <w:rPr>
      <w:rFonts w:ascii="Times New Roman" w:hAnsi="Times New Roman"/>
      <w:kern w:val="2"/>
      <w:sz w:val="21"/>
    </w:rPr>
  </w:style>
  <w:style w:type="paragraph" w:customStyle="1" w:styleId="72">
    <w:name w:val="样式 标题 5 + 右侧:  -0.18 字符"/>
    <w:basedOn w:val="1"/>
    <w:uiPriority w:val="99"/>
    <w:pPr>
      <w:numPr>
        <w:ilvl w:val="4"/>
        <w:numId w:val="2"/>
      </w:numPr>
      <w:tabs>
        <w:tab w:val="left" w:pos="1008"/>
      </w:tabs>
    </w:pPr>
    <w:rPr>
      <w:szCs w:val="20"/>
    </w:rPr>
  </w:style>
  <w:style w:type="paragraph" w:customStyle="1" w:styleId="73">
    <w:name w:val="List Paragraph1"/>
    <w:basedOn w:val="1"/>
    <w:uiPriority w:val="99"/>
    <w:pPr>
      <w:ind w:firstLine="420" w:firstLineChars="200"/>
    </w:pPr>
  </w:style>
  <w:style w:type="paragraph" w:customStyle="1" w:styleId="74">
    <w:name w:val="样式 宋体 小四 行距: 1.5 倍行距 首行缩进:  2 字符"/>
    <w:basedOn w:val="1"/>
    <w:uiPriority w:val="99"/>
    <w:pPr>
      <w:spacing w:line="360" w:lineRule="auto"/>
      <w:ind w:firstLine="480" w:firstLineChars="200"/>
    </w:pPr>
    <w:rPr>
      <w:rFonts w:ascii="宋体" w:hAnsi="宋体" w:cs="宋体"/>
      <w:sz w:val="24"/>
      <w:szCs w:val="20"/>
    </w:rPr>
  </w:style>
  <w:style w:type="paragraph" w:customStyle="1" w:styleId="75">
    <w:name w:val="样式 正文首行缩进 + 首行缩进:  2 字符"/>
    <w:basedOn w:val="1"/>
    <w:uiPriority w:val="99"/>
    <w:pPr>
      <w:spacing w:after="120" w:line="300" w:lineRule="auto"/>
      <w:ind w:firstLine="480" w:firstLineChars="200"/>
    </w:pPr>
    <w:rPr>
      <w:rFonts w:ascii="宋体" w:hAnsi="宋体"/>
      <w:sz w:val="24"/>
      <w:szCs w:val="20"/>
      <w:lang w:val="zh-CN"/>
    </w:rPr>
  </w:style>
  <w:style w:type="paragraph" w:customStyle="1" w:styleId="76">
    <w:name w:val="样式 正文文本 + 左侧:  2 字符 首行缩进:  2 字符 段前: 0.5 行"/>
    <w:basedOn w:val="15"/>
    <w:uiPriority w:val="99"/>
    <w:pPr>
      <w:spacing w:beforeLines="50" w:afterLines="50" w:line="360" w:lineRule="auto"/>
      <w:ind w:firstLine="480" w:firstLineChars="200"/>
      <w:jc w:val="left"/>
    </w:pPr>
    <w:rPr>
      <w:rFonts w:ascii="宋体" w:hAnsi="宋体" w:cs="宋体"/>
      <w:kern w:val="0"/>
      <w:sz w:val="24"/>
    </w:rPr>
  </w:style>
  <w:style w:type="paragraph" w:customStyle="1" w:styleId="77">
    <w:name w:val="标准文本"/>
    <w:basedOn w:val="1"/>
    <w:uiPriority w:val="99"/>
    <w:pPr>
      <w:spacing w:line="360" w:lineRule="auto"/>
      <w:ind w:firstLine="480" w:firstLineChars="200"/>
    </w:pPr>
    <w:rPr>
      <w:kern w:val="0"/>
      <w:sz w:val="24"/>
    </w:rPr>
  </w:style>
  <w:style w:type="character" w:customStyle="1" w:styleId="78">
    <w:name w:val="正文缩进 Char"/>
    <w:basedOn w:val="28"/>
    <w:link w:val="12"/>
    <w:locked/>
    <w:uiPriority w:val="99"/>
    <w:rPr>
      <w:rFonts w:cs="黑体"/>
      <w:kern w:val="2"/>
      <w:sz w:val="21"/>
    </w:rPr>
  </w:style>
  <w:style w:type="character" w:customStyle="1" w:styleId="79">
    <w:name w:val="样式1 Char"/>
    <w:basedOn w:val="28"/>
    <w:locked/>
    <w:uiPriority w:val="99"/>
    <w:rPr>
      <w:rFonts w:ascii="Calibri" w:hAnsi="Calibri"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C8DBA7-5AFA-426A-AD00-203B91D66ED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42</Pages>
  <Words>12714</Words>
  <Characters>13113</Characters>
  <Lines>152</Lines>
  <Paragraphs>42</Paragraphs>
  <TotalTime>1</TotalTime>
  <ScaleCrop>false</ScaleCrop>
  <LinksUpToDate>false</LinksUpToDate>
  <CharactersWithSpaces>13730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2015-10-22T08:20:00Z</dcterms:created>
  <dc:creator>微软用户</dc:creator>
  <cp:lastModifiedBy>丹丹</cp:lastModifiedBy>
  <cp:lastPrinted>2015-10-22T07:11:00Z</cp:lastPrinted>
  <dcterms:modified xsi:type="dcterms:W3CDTF">2025-02-28T06:08:32Z</dcterms:modified>
  <dc:title>常州市钟楼区财政一体化软件项目谈判文件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eyJoZGlkIjoiYmNjMzdkZWU4YmZkZDFhYWM4N2Y5MjM0MmMyYzg3MmIiLCJ1c2VySWQiOiIxMDg3MzE0MzAzIn0=</vt:lpwstr>
  </property>
  <property fmtid="{D5CDD505-2E9C-101B-9397-08002B2CF9AE}" pid="3" name="KSOProductBuildVer">
    <vt:lpwstr>2052-12.1.0.19770</vt:lpwstr>
  </property>
  <property fmtid="{D5CDD505-2E9C-101B-9397-08002B2CF9AE}" pid="4" name="ICV">
    <vt:lpwstr>F670D53F002C439FAB9DA5A0BD3D6810_12</vt:lpwstr>
  </property>
</Properties>
</file>