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CB48C">
      <w:pPr>
        <w:pStyle w:val="2"/>
        <w:ind w:firstLine="883" w:firstLineChars="200"/>
        <w:jc w:val="center"/>
        <w:rPr>
          <w:sz w:val="44"/>
          <w:szCs w:val="44"/>
        </w:rPr>
      </w:pPr>
      <w:bookmarkStart w:id="2" w:name="_GoBack"/>
      <w:r>
        <w:rPr>
          <w:rFonts w:hint="eastAsia" w:ascii="黑体" w:hAnsi="黑体" w:eastAsia="黑体" w:cs="Times New Roman"/>
          <w:b/>
          <w:sz w:val="44"/>
          <w:szCs w:val="44"/>
        </w:rPr>
        <w:t>2018年天宁区商务局工作计划</w:t>
      </w:r>
    </w:p>
    <w:p w14:paraId="1EA851DB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（一）加大招商引资力度</w:t>
      </w:r>
    </w:p>
    <w:p w14:paraId="3B7630F6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．更新招引理念。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根据区委区政府的要求，瞄准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园、楼、文、云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四个时代，突出要素保障，积极探索规范、协调的外资项目招引办法，强化外资工作全区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一盘棋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的认识，创新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共引共享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的招引体系，合理规划、提升现有土地利用效率，全力推进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飞地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招商。</w:t>
      </w:r>
    </w:p>
    <w:p w14:paraId="024C447C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．加强产业链招商。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结合常州升级版十大产业链及天宁区制造业招引方向，深入研究产业及细分领域，瞄准天宁区高端制造业招引方向，加强产业链招商，进一步强链、补链，采用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基金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基地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招商模式，创新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共同招商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66635689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．实行精准招商。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拓展多种渠道捕捉项目信息，在招大引强上花更多精力、使更大力气，争取在外资制造业项目上有实质性突破。加强与国企（央企）、世界</w:t>
      </w:r>
      <w:r>
        <w:rPr>
          <w:rFonts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强、中国</w:t>
      </w:r>
      <w:r>
        <w:rPr>
          <w:rFonts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强、跨国公司与行业龙头企业的对接交流，不断探索互惠共赢的合作模式。充分发挥上海、深圳、北京办事处作用，利用大城市产业转型、企业外拓的契机，加大重点引资区域的招商力度，寻求招商引资新突破。依靠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龙城英才计划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，加强和企业、高校、中介机构、海外归国人才交流，拓展具有较大发展前景的科技、人才类项目信息。</w:t>
      </w:r>
    </w:p>
    <w:p w14:paraId="4EF7F234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</w:t>
      </w:r>
      <w:bookmarkStart w:id="0" w:name="OLE_LINK3"/>
      <w:bookmarkStart w:id="1" w:name="OLE_LINK4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．形成联动机制</w:t>
      </w:r>
      <w:bookmarkEnd w:id="0"/>
      <w:bookmarkEnd w:id="1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发挥区内各板块的资源信息优势，积极加强与各板块联络，形成招商对接互动机制、功能区块定点联系机制、项目实时协调机制，实现资源共享、项目共享、平台共享、成果共享，发挥全区合力招商、抱团招商的作用，实现共引共享共保共赢的招商新局面。</w:t>
      </w:r>
    </w:p>
    <w:p w14:paraId="7E5D2611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（二）确保完成外资任务</w:t>
      </w:r>
    </w:p>
    <w:p w14:paraId="7A37D435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．直面困难，强化信心。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围绕全年工作目标，循序渐进开展工作，坚定完成全年指标的信心，把握住每个时间节点，全力以赴争取完成全年工作任务。对在谈和拟落地重大项目全力推进，督促其资金及早到位。实施招商引资工作项目化运作，以流程再造和工作倒逼机制提高工作效率和质量。</w:t>
      </w:r>
    </w:p>
    <w:p w14:paraId="213C8836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．紧盯进度，确保完成。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保目标、保位次、优结构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的要求，进一步做好外资项目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签约、到资、投产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推进服务工作，重点做好重大外资项目的跟踪服务，保证项目有序推进，确保主要目标任务顺利完成。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以月保季、以季保年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，每月初对当月拟备案项目和拟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到账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项目进行梳理，按照节点，倒排进度。每周细化工作进度，保证每月争分夺秒，尽最大可能按时序进度完成新增协议注册外资和实际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到账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注册外资两项指标。与企业、银行、会计师事务所提前沟通，确保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到账资金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当月上报，当月体现。</w:t>
      </w:r>
    </w:p>
    <w:p w14:paraId="1FE9947B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．更优更好服务项目。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对项目前期的咨询与辅导，事中事后服务，加快项目流程。项目审批中遇到阻碍的时候，加强与市商务局、工商、外管、海关、国土、环保等相关职能部门的协作与沟通，针对一些项目注册备案过程中存在的难点、疑点，形成攻坚克难的合力，提前介入、协调难点、全程服务、确保设立，让企业不走弯路，促成项目尽早落户，以优质服务确保指标的完成。</w:t>
      </w:r>
    </w:p>
    <w:p w14:paraId="39BEC63D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（三）提升外贸贡献度</w:t>
      </w:r>
    </w:p>
    <w:p w14:paraId="2FE3D0C8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．优化外贸进出口结构。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一是与招商引资结合起来，不断推进外贸企业的引进，通过补增量的方式来充实并提升我区的外贸份额。二是引导出口企业大力实施品牌战略。积极培育具有自主品牌和自主知识产权的出口产品，由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低价式、数量式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竞争向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品牌化、差异化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竞争方向转型。三是帮助企业加大国际市场的开拓力度。充分利用国内外知名展会，为各类企业走向国际市场搭建平台，引导推动更多的企业走向国际市场；在巩固传统市场份额的基础上，进一步挖掘新兴市场出口潜力。</w:t>
      </w:r>
    </w:p>
    <w:p w14:paraId="43AAB68E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．加强外贸平台建设。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通过平台建设，进一步提升我区外贸企业发展潜力，优化进出口产品结构。一是完善和丰富纺织服装出口基地的服务功能，打造省级外贸转型升级基地，用好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外贸风险信息服务平台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使区内企业能够享受到最优惠的出口风险预警和收汇风险保障。二是跟踪服务常州外贸、常州宇玎贸易有限公司等平台企业，帮助其创建外贸服务公共平台，鼓励其做大做强。三是整合郑陆镇的优势医疗器材出口企业，争创市级医疗器材出口基地。四是继续关注常州市化工轻工材料有限公司的进口业务发展，帮助其创建省级进口商品交易中心。</w:t>
      </w:r>
    </w:p>
    <w:p w14:paraId="4DDDA087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．坚持开展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三送一解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三大一实干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活动，重点针对辖区内</w:t>
      </w:r>
      <w:r>
        <w:rPr>
          <w:rFonts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多家外贸企业进行全覆盖的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三送一解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送信息、送政策、送服务，解难题）大走访活动。通过大走访，进一步完善外贸企业联系制度，了解企业经营状况，并及时将外贸工作的新政策、新制度、新要求传递到每一家企业中，帮助企业解决经营上的困难，从存量企业中挖掘新的增量。</w:t>
      </w:r>
    </w:p>
    <w:p w14:paraId="2B650D6A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（四）优化环境促进消费</w:t>
      </w:r>
    </w:p>
    <w:p w14:paraId="680A6CEF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．关注商贸运行。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做好商贸流通领域市场监测及分析工作，督促样本企业按时上网报送数据，努力提高报送数据的准确性和及时性，提高市场运行分析报告的质量。</w:t>
      </w:r>
    </w:p>
    <w:p w14:paraId="38E50A33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．加强管理监督。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认真开展等重大节假日期间单用途商业预付卡专项检查、重点商贸流通企业安全生产检查、商贸流通领域夏季消防检查等工作。做好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十三五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期间加油站网点规划的申报工作。督促加油站做好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地下水污染防治工作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。及时打击侵犯知识产权和制售假冒伪劣商品行为。</w:t>
      </w:r>
    </w:p>
    <w:p w14:paraId="26BC39F9">
      <w:pPr>
        <w:pStyle w:val="2"/>
        <w:ind w:firstLine="643" w:firstLineChars="200"/>
        <w:rPr>
          <w:rFonts w:hint="eastAsia"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．加强菜市场长效管理。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继续对各流通节点使用肉菜追溯系统的情况进行监督，督促各单位自觉、有效地使用追溯系统。引导和鼓励消费者主动使用追溯体系，维护自身合法权益。继续把长效管理考评工作做实做细，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常态化管理。与街道城管形成合力，进一步把城市长效管理考评工作做实做细，做到常态化管理，使全区菜市场管理水平整体上台阶。进一步细化《菜市场管理考核办法》，考核办法更合理更有效，提高菜市场管理人员工作的积极性。</w:t>
      </w:r>
    </w:p>
    <w:p w14:paraId="729D5558"/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jMzdkZWU4YmZkZDFhYWM4N2Y5MjM0MmMyYzg3MmIifQ=="/>
  </w:docVars>
  <w:rsids>
    <w:rsidRoot w:val="00EC5605"/>
    <w:rsid w:val="00EC5605"/>
    <w:rsid w:val="00EE0189"/>
    <w:rsid w:val="701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2172</Words>
  <Characters>2181</Characters>
  <Lines>15</Lines>
  <Paragraphs>4</Paragraphs>
  <TotalTime>2</TotalTime>
  <ScaleCrop>false</ScaleCrop>
  <LinksUpToDate>false</LinksUpToDate>
  <CharactersWithSpaces>2181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2018-04-12T06:00:00Z</dcterms:created>
  <dc:creator>USER</dc:creator>
  <cp:lastModifiedBy>丹丹</cp:lastModifiedBy>
  <dcterms:modified xsi:type="dcterms:W3CDTF">2024-08-19T06:39:28Z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EED4CE6E57234E85A9F2A76C529BFF6F_12</vt:lpwstr>
  </property>
</Properties>
</file>