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bookmarkStart w:id="0" w:name="_GoBack"/>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2021年度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常州市天宁区妇幼保健计划生育服务中心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eastAsia="黑体" w:cs="黑体"/>
        </w:rPr>
        <w:t>单位决算表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eastAsia="黑体" w:cs="黑体"/>
        </w:rPr>
        <w:t>单位决算情况说明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常州市天宁区妇幼保健计划生育服务中心为副科级全额拨款事业单位，隶属常州市天宁区卫生健康局，主要承担本辖区内妇女、儿童保健服务工作，计划生育技术指导及服务，婚前医学检查，孕前优生检查，妇女病“两癌”检查及托幼机构卫生保健工作的监督管理，妇幼卫生信息的统计和“三网”监测工作，对基层妇幼保健工作的业务指导以及母婴保健服务监管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本单位内设机构包括综合科、儿童保健科、群体保健科、妇女保健科、生殖保健科、青春期保健科、医技科。本单位无下属单位。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加强辖区业务质量组织管理。为进一步加强我区妇幼健康服务质量管理，我区成立了母婴安全管理办公室、新生儿疾病筛查免费项目管理领导小组与质量控制小组、妇幼卫生信息工作领导小组和质量控制小组等；配合区卫健局制订《天宁区高危孕产妇管理规范（试行）》《妇幼新增基本公卫项目绩效考核方案》等，定期开展相关工作督查通报，保障服务质量持续改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辖区内助产机构和爱婴医院质量检查。为加强对辖区助产机构的长效管理，提升产儿科服务能力，根据市卫健委关于开展2021年度爱婴医院市级复核、助产技术服务质量评价工作的要求，在区卫健局主导下依据《江苏省助产技术服务评审标准（修订）》（苏卫妇幼〔2018〕13号）及2014版《江苏省爱婴医院评审标准》，对辖区内6家助产机构/3家爱婴医院开展专项复核、质量检查100%，合格率100%。</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规范出生医学证明管理。针对各签发机构《出生医学证明》管理和签发人员，每年定期开展法制教育和岗位业务培训；及时传达国家、省、市《出生医学证明》相关文件；定期对各机构进行业务指导与督查。本年度未发生违纪违规重大事件。按照出生证归档时间在2021年6月3</w:t>
      </w:r>
      <w:r>
        <w:rPr>
          <w:rFonts w:hint="eastAsia" w:ascii="仿宋" w:hAnsi="仿宋" w:eastAsia="仿宋" w:cs="仿宋"/>
          <w:lang w:val="en-US" w:eastAsia="zh-CN"/>
        </w:rPr>
        <w:t>0</w:t>
      </w:r>
      <w:r>
        <w:rPr>
          <w:rFonts w:ascii="仿宋" w:hAnsi="仿宋" w:eastAsia="仿宋" w:cs="仿宋"/>
        </w:rPr>
        <w:t>日前完成2003—2014年全部出生医学证明档案移交，共移交35207件签发证明。目前辖区已启动2015-2019年出生证档案移交：郑陆卫生院、妇计中心2015年-2019年1552份出生证档案资料已移交区档案馆。全区签发出生医学证明4342份：医疗机构内出生医学证明当年出生首次签发4111份、补发68份、换发24份，废证5份，废证率为0.12%，小于1％。全区当年出生首次签发率96.03％。</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规范开展“三网”监测工作。建立以区妇计中心为网顶、卫生院/中心为枢纽、服务站为网底的妇幼卫生信息三级网络。按照国家级和省级三网监测的要求开展孕产妇死亡监测、儿童死亡监测和出生缺陷监测。全年开展2次新生儿死亡评审会，针对新生儿死亡原因进行分析、提出干预措施，有效提高了全区儿保医生对新生儿保健指导的业务水平。定期对各医疗机构、卫生院、中心进行三网监测督查和业务培训，不断提高监测水平。全年对3947名新生儿进行活产补漏质控调查，避免辖区新生儿死亡漏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规范开展艾滋病、梅毒和乙肝母婴阻断项目。区妇计中心按照新方案的要求开展母婴阻断工作，并组织技术指导组对辖区各医疗机构进行质控。邀请市妇幼保健院项目负责人就“预防“艾梅乙”母婴传播药物应用及暴露儿童的随访与管理”开展培训，对新版工作方案实施后的情况进行进一步梳理，全面提升了全区妇幼健康服务质量和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规范开展新生儿疾病筛查项目。规范开展新生儿遗传代谢病筛查、听力筛查、先心筛查工作，做好辖区内相关工作人员业务培训，定期对辖区医疗机构工作质量进行督查与通报。截至11月新生儿遗传代谢病筛查率97.62%，听力筛查率97.62%，先天性心脏病筛查率99.91%，对阳性个案定期随访有效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规范高危儿与危重症孕产妇管理。按照“市、区两级高危儿筛查与管理工作方案”，对辖区高危儿实行网格化管理，定期进行工作质控考核与通报，高危儿数据分析，对基层儿保人员定期例会、培训，确保辖区高危儿漏筛≤5%，管理率≥95%。全年本中心高危儿门诊接受A类高危儿173名，开展门诊服务644人次，并实行专案管理、健康宣教保健指导。每季度邀请市、区级专家开展危重孕产妇评审工作会，就辖区发生的不同危重症孕产妇病例认真评审，分析存在问题、提出整改意见，不断积累辖区助产机构经验，保障母婴安全。2021年前三季度全区三级医院共计上报14例危重症孕产妇均救治成功，危重症转诊救治网络运行顺畅。</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开展“两癌”检查、叶酸补服、孕前优生等妇幼公卫项目。2021年天宁区任务数28375人，实际完成28548人，共随访到宫颈低级别病变89例，高级别病变36例，原位腺癌1例，微小浸润癌1例，浸润癌2例，卵巢癌1例；乳腺原位癌5例，浸润性导管癌18例，浸润性小叶癌1例，均进行了治疗。2021年天宁区宫颈癌早诊率95%，宫颈癌前病变及宫颈癌治疗随访率100%，乳腺病变治疗随访率100%。规范实施叶酸补服、孕前优生等妇幼基本公卫项目，每半年开展项目工作督查指导，截至11月全区免费发放叶酸1020人次，其中首次发放893人次；共对1149人电话随访3121人次，所有机构均能做到应访尽访，新增增补叶酸人数已经超额完成年度目标任务。2021年市对区免费孕前优生健康检查目标任务数300对，我区完成310对，完成103.33%。</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0-6岁儿童眼保健工作。强化儿童近视防控，为辖区20014名在园儿童进行视力筛查并建立眼健康档案，眼健康档案覆盖率99.59%（19932/20014）。与常州市第三人民医院签订“医疗联合体服务协议”，开展眼科特色门诊，通过市级专家坐诊，对辖区视力异常儿童给予专业的视力检查、视觉评估，全年门诊接诊1227人次，对视力不良儿童提供定期随访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加强托幼（托育）机构卫生保健管理。全年托幼机构卫生保健合格率100％。对105名托幼机构在岗保健老师加强“营养与肥胖”相关知识培训、286名新上岗保育员进行岗前技能知识培训，岗前带教培训68名新上岗保健老师，规范托幼机构保健老师及保育员队伍。为2717名教职工定期开展健康体检，定期健康。体检率100％。组织各卫生院/中心开展在园20014名儿童健康体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规范开展新设立幼儿园招生前评价：全区上半年在管托幼机构43家，下半年对新增3家新设立托幼机构及2家原址重建幼儿园进行招生前卫生保健评价；全年托幼机构卫生保健检查率100%，合格率100％。目前全区评审通过11家托育机构，本年度新增6家。中心对11家托育机构保健老师定期进行相关业务指导，以规范全区托育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11、计划生育技术督导，规范实施基本避孕服务项目。在区卫健局主导下每年组织专家对区属计生手术机构依据《江苏省结扎终止妊娠手术评审细则》进行督导，目前各机构计划生育质量管理均专人负责，执行服务诊疗常规和操作规程，落实服务质量与安全管理制度，不断提高服务质量。全区免费避孕药具发放数大于去年同比的90%，提前完成了年度目标任务发放数。</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常州市天宁区妇幼保健计划生育服务中心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color w:val="000000"/>
                <w:sz w:val="22"/>
                <w:szCs w:val="22"/>
                <w:lang w:eastAsia="ar-SA"/>
              </w:rPr>
              <w:t>常州市天宁区妇幼保健计划生育服务中心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919.74</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329.42</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0.12</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157.05</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899.09</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0.34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190.80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1,249.28</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1,249.28</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1,249.28</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1,249.28</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1,249.28</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919.74</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329.42</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事业单位离退休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899.09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569.55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329.42</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866.93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329.42</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妇幼保健机构</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696.22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366.68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329.42</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156.29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156.29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水利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其他水利支出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131.69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131.69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1,249.28</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927.90</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321.38</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事业单位离退休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48.67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48.67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73.77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73.77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34.61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34.61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899.09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580.05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319.04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866.93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563.02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303.91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妇幼保健机构</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696.22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563.02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133.20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14.42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156.29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156.29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15.13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15.13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15.13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15.13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0.34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水利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0.34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其他水利支出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0.34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190.80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190.80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58.21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131.69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131.69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0.90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0.90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常州市天宁区妇幼保健计划生育服务中心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919.74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569.55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569.55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919.74</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919.74</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919.74</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919.74</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919.74</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919.74</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919.74</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731.56</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569.55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383.71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170.71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妇幼保健机构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366.68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366.68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水利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其他水利支出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131.69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131.69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sz w:val="22"/>
                <w:szCs w:val="22"/>
              </w:rPr>
              <w:t>常州市天宁区妇幼保健计划生育服务中心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731.56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719.28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919.74</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731.56</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569.55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383.71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170.71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妇幼保健机构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366.68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366.68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其他水利支出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131.69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131.69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731.56</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719.28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1.11</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1.11</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0.94</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本单位无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单位</w:t>
      </w:r>
      <w:r>
        <w:rPr>
          <w:rFonts w:hint="eastAsia" w:ascii="仿宋" w:hAnsi="仿宋" w:eastAsia="仿宋" w:cs="仿宋"/>
          <w:b w:val="0"/>
          <w:bCs w:val="0"/>
          <w:sz w:val="22"/>
          <w:szCs w:val="22"/>
        </w:rPr>
        <w:t>无一般公共预算机关运行经费支出决算，故本表为空。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名称：</w:t>
            </w:r>
            <w:r>
              <w:rPr>
                <w:rFonts w:hint="eastAsia" w:ascii="仿宋" w:hAnsi="仿宋" w:eastAsia="仿宋" w:cs="仿宋"/>
              </w:rPr>
              <w:t>常州市天宁区妇幼保健计划生育服务中心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单位决算情况说明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2021年度收入、支出决算总计1,249.28万元。与上年相比，收、支总计各增加173.7万元，增长16.15%。其中：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（一）收入决算总计1,249.28万元。包括：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1.本年收入决算合计1,249.28万元。与上年相比，增加174.49万元，增长16.23%，变动原因：政府采购百万元以上医疗设备（彩色超声诊断仪）133.2万元，而上年无同规模采购计划。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3.年初结转和结余0万元。与上年相比，减少0.79万元，减少100%，变动原因：上年末无结转结余。</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（二）支出决算总计1,249.28万元。包括：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1.本年支出决算合计1,249.28万元。与上年相比，增加173.7万元，增长16.15%，变动原因：政府采购百万元以上医疗设备（B超）133.2万元，而上年无同规模采购支出。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收入决算合计1,249.28万元，其中：财政拨款收入919.74万元，占73.62%；上级补助收入0万元，占0%；财政专户管理教育收费0万元，占0%；事业收入（不含专户管理教育收费）329.42万元，占26.37%；经营收入0万元，占0%；附属单位上缴收入0万元，占0%；其他收入0.12万元，占0.01%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2021年度本年支出决算合计1,249.28万元，其中：基本支出927.9万元，占74.27%；项目支出321.38万元，占25.73%；上缴上级支出0万元，占0%；经营支出0万元，占0%；对附属单位补助支出0万元，占0%。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2021年度财政拨款收入、支出决算总计919.74万元。与上年相比，收、支总计各增加104.31万元，增长12.79%，变动原因：住房公积金基数调整，人员增资，部分区外调入人员养老年金清算，住房补贴比例调增。</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2021年度财政拨款支出决算919.74万元，占本年支出合计的73.62%。与2021年度财政拨款支出年初预算580.38万元相比，完成年初预算的158.47%。其中：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1.行政事业单位养老支出（款）事业单位离退休（项）。年初预算39.51万元，支出决算48.67万元，完成年初预算的123.18%。决算数与年初预算数的差异原因：新增1名退休人员，离退休人员住房补贴调整。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年初预算29.45万元，支出决算73.77万元，完成年初预算的250.49%。决算数与年初预算数的差异原因：养老保险基数调整，本年度新增1名在编职工，部分区外调入人员养老保险清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年初预算14.72万元，支出决算34.61万元，完成年初预算的235.12%。决算数与年初预算数的差异原因：职业年金基数调整，本年度新增1名在编职工，部分区外调入人员职业年金清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1.公共卫生（款）妇幼保健机构（项）。年初预算287.17万元，支出决算366.68万元，完成年初预算的127.69%。决算数与年初预算数的差异原因：含财政年中拨付专项经费，此部分不做年初预算。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共卫生（款）基本公共卫生服务（项）。年初预算0万元，支出决算14.42万元，（年初预算数为0万元，无法计算完成比率）。决算数与年初预算数的差异原因：涉及项目未做年初预算，属于非预算项目，相关经费由财政直接下拨给我单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共卫生（款）重大公共卫生服务（项）。年初预算0万元，支出决算156.29万元，（年初预算数为0万元，无法计算完成比率）。决算数与年初预算数的差异原因：涉及项目未做年初预算，属于非预算项目，相关经费由财政直接下拨给我单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4.行政事业单位医疗（款）事业单位医疗（项）。年初预算10.22万元，支出决算10.48万元，完成年初预算的102.54%。决算数与年初预算数的差异原因：社保基数调整，新增1名在编职工。</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5.行政事业单位医疗（款）公务员医疗补助（项）。年初预算6.82万元，支出决算6.55万元，完成年初预算的96.04%。决算数与年初预算数的差异原因：社保基数调整，本年有1名职工退休。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其他卫生健康支出（款）其他卫生健康支出（项）。年初预算0万元，支出决算15.13万元，（年初预算数为0万元，无法计算完成比率）。决算数与年初预算数的差异原因：涉及项目未做年初预算，属于非预算项目，相关经费由财政直接下拨给我单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城乡社区支出（款）其他城乡社区支出（项）。年初预算0万元，支出决算2万元，（年初预算数为0万元，无法计算完成比率）。决算数与年初预算数的差异原因：该项目内容为城市长效基金，不做年初预算，属于年中项目经费，由财政直接下拨给我单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（四）农林水支出（类）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水利（款）其他水利支出（项）。年初预算0万元，支出决算0.34万元，（年初预算数为0万元，无法计算完成比率）。决算数与年初预算数的差异原因：该项目未做年初预算，为上年结转的节水型单位补助资金。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1.住房改革支出（款）住房公积金（项）。年初预算60.78万元，支出决算58.21万元，完成年初预算的95.77%。决算数与年初预算数的差异原因：住房公积金基数调整，本单位新增1名退休人员。</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2.住房改革支出（款）提租补贴（项）。年初预算131.69万元，支出决算131.69万元，完成年初预算的100%。决算数与年初预算数相同。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3.住房改革支出（款）购房补贴（项）。年初预算0万元，支出决算0.9万元，（年初预算数为0万元，无法计算完成比率）。决算数与年初预算数的差异原因：未做年初预算，是支付给1名退休人员的一次性补贴。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2021年度财政拨款基本支出决算731.56万元，其中：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（一）人员经费719.28万元。</w:t>
      </w:r>
      <w:r>
        <w:rPr>
          <w:rFonts w:ascii="仿宋" w:hAnsi="仿宋" w:eastAsia="仿宋" w:cs="仿宋"/>
        </w:rPr>
        <w:t>主要包括：基本工资、津贴补贴、奖金、绩效工资、机关事业单位基本养老保险缴费、职业年金缴费、职工基本医疗保险缴费、公务员医疗补助缴费、住房公积金、离休费、生活补助、其他对个人和家庭的补助。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（二）公用经费12.28万元。</w:t>
      </w:r>
      <w:r>
        <w:rPr>
          <w:rFonts w:ascii="仿宋" w:hAnsi="仿宋" w:eastAsia="仿宋" w:cs="仿宋"/>
        </w:rPr>
        <w:t>主要包括：差旅费、其他商品和服务支出。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2021年度一般公共预算财政拨款支出决算919.74万元。与上年相比，增加104.31万元，增长12.79%，变动原因：住房公积金基数调整，人员增资，部分区外调入人员养老年金清算，住房补贴比例调增。</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2021年度一般公共预算财政拨款基本支出决算731.56万元，其中：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（一）人员经费719.28万元。</w:t>
      </w:r>
      <w:r>
        <w:rPr>
          <w:rFonts w:ascii="仿宋" w:hAnsi="仿宋" w:eastAsia="仿宋" w:cs="仿宋"/>
        </w:rPr>
        <w:t>主要包括：基本工资、津贴补贴、奖金、绩效工资、机关事业单位基本养老保险缴费、职业年金缴费、职工基本医疗保险缴费、公务员医疗补助缴费、住房公积金、离休费、生活补助、其他对个人和家庭的补助。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（二）公用经费12.28万元。</w:t>
      </w:r>
      <w:r>
        <w:rPr>
          <w:rFonts w:ascii="仿宋" w:hAnsi="仿宋" w:eastAsia="仿宋" w:cs="仿宋"/>
        </w:rPr>
        <w:t>主要包括：差旅费、其他商品和服务支出。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（一）一般公共预算“三公”经费支出总体情况说明。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三公”经费支出决算1.11万元。与上年相比，减少2.69万元，变动原因：认真严格落实中央关于厉行节约的各项要求，严格控制公务接待标准，逐年递减公务用车运行维护费的预算安排。其中，因公出国（境）费支出0万元，占“三公”经费的0%；公务用车购置及运行维护费支出1.11万元，占“三公”经费的100%；公务接待费支出0万元，占“三公”经费的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（二）一般公共预算“三公”经费支出具体情况说明。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1．因公出国（境）费支出预算0万元，支出决算0万元，完成预算的100%，决算数与预算数相同。全年使用一般公共预算财政拨款涉及的出国（境）团组0个，累计0人次。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2．公务用车购置及运行维护费支出预算2.5万元，支出决算1.11万元，完成预算的44.4%，决算数与预算数的差异原因：加强车辆使用管理，厉行节约。其中：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（1）公务用车购置支出决算0万元。本年度使用一般公共预算财政拨款购置公务用车0辆。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1.11万元。公务用车运行维护费主要用于按规定保留的公务用车的燃料费、维修费、过桥过路费、保险费、安全奖励费用等支出。截至2021年12月31日，使用一般公共预算财政拨款开支的公务用车保有量为1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3．公务接待费支出预算0万元，支出决算0万元，完成预算的100%，决算数与预算数相同。其中：国内公务接待支出0万元，接待0批次，0人次；国（境）外公务接待支出0万元，接待0批次0人次。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（三）一般公共预算会议费支出决算情况说明。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会议费支出预算0.11万元，支出决算0.1万元，完成预算的90.91%，决算数与预算数的差异原因：严格控制会议支出，严格执行中央八项规定。2021年度全年召开会议1个，参加会议2人次，开支内容：支第一人民医院2021年检验质控会议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（四）一般公共预算培训费支出决算情况说明。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培训费支出预算1万元，支出决算0.94万元，完成预算的94%，决算数与预算数的差异原因：认真贯彻落实中央厉行节约要求，进一步规范各项培训费用开支。2021年度全年组织培训6个，组织培训9人次，开支内容：支职工参加省婴幼儿保健管理培训费、支职工参加区卫健系统干部能力提升培训费、支职工参加省儿童视力筛查防控培训费、支职工参加省产后康复技术培训、支职工参加市阴道镜检查专项技能培训费等、支职工参加2021年妇幼保健机构学术年会费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2021年度机关运行经费支出决算0万元。与上年决算数相同。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采购支出总额7.3万元，其中：政府采购货物支出7.3万元、政府采购工程支出0万元、政府采购服务支出0万元。政府采购授予中小企业合同金额0万元，占政府采购支出总额的0%，其中：授予小微企业合同金额0万元，占政府采购支出总额的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2021年12月31日，本单位共有车辆1辆，其中：副部(省)级及以上领导用车0辆、主要领导干部用车0辆、机要通信用车0辆、应急保障用车0辆、执法执勤用车1辆、特种专业技术用车0辆、离退休干部用车0辆、其他用车0辆；单价50万元（含）以上的通用设备0台（套），单价100万元（含）以上的专用设备1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2021年度，本单位共0个项目开展了财政重点绩效评价，涉及财政性资金合计0万元；本单位未开展单位整体支出财政重点绩效评价，涉及财政性资金0万元。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本单位共对上年度已实施完成的7个项目开展了绩效自评价，涉及财政性资金合计188.18万元；本单位共开展0项单位整体支出绩效自评价，涉及财政性资金合计0万元。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二十二、卫生健康支出(类)公共卫生(款)妇幼保健机构(项)</w:t>
      </w:r>
      <w:r>
        <w:rPr>
          <w:rFonts w:ascii="仿宋" w:hAnsi="仿宋" w:eastAsia="仿宋" w:cs="仿宋"/>
          <w:b/>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二十三、卫生健康支出(类)公共卫生(款)基本公共卫生服务(项)</w:t>
      </w:r>
      <w:r>
        <w:rPr>
          <w:rFonts w:ascii="仿宋" w:hAnsi="仿宋" w:eastAsia="仿宋" w:cs="仿宋"/>
          <w:b/>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二十四、卫生健康支出(类)公共卫生(款)重大公共卫生服务(项)</w:t>
      </w:r>
      <w:r>
        <w:rPr>
          <w:rFonts w:ascii="仿宋" w:hAnsi="仿宋" w:eastAsia="仿宋" w:cs="仿宋"/>
          <w:b/>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二十七、卫生健康支出(类)其他卫生健康支出(款)其他卫生健康支出(项)</w:t>
      </w:r>
      <w:r>
        <w:rPr>
          <w:rFonts w:ascii="仿宋" w:hAnsi="仿宋" w:eastAsia="仿宋" w:cs="仿宋"/>
          <w:b/>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二十八、城乡社区支出(类)其他城乡社区支出(款)其他城乡社区支出(项)</w:t>
      </w:r>
      <w:r>
        <w:rPr>
          <w:rFonts w:ascii="仿宋" w:hAnsi="仿宋" w:eastAsia="仿宋" w:cs="仿宋"/>
          <w:b/>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二十九、农林水支出(类)水利(款)其他水利支出(项)</w:t>
      </w:r>
      <w:r>
        <w:rPr>
          <w:rFonts w:ascii="仿宋" w:hAnsi="仿宋" w:eastAsia="仿宋" w:cs="仿宋"/>
          <w:b/>
        </w:rPr>
        <w:t>：</w:t>
      </w:r>
      <w:r>
        <w:rPr>
          <w:rFonts w:hint="eastAsia" w:ascii="仿宋" w:hAnsi="仿宋" w:eastAsia="仿宋" w:cs="仿宋"/>
        </w:rPr>
        <w:t>反映除上述项目以外其他用于水利方面的支出。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bookmarkEnd w:id="0"/>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ZirMwBAACd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g5vwmhLLDU78/P3b+cev88+v&#10;ZFnclEmi3kOFmQ8ec+Pwzg2YPvsBnYn50AaTvsiJYBwFPl0ElkMkIj0qV2VZYEhgbL4gPnt67gPE&#10;e+kMSUZNA04wC8uPHyCOqXNKqmbdndI6T1HbvxyImTws9T72mKw47IaJ0M41J+TT4/BranHXKdHv&#10;LWqb9mQ2wmzsZuPgg9p3eZFSPfBvDxGbyL2lCiPsVBinltlNG5bW4s97z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NBmKs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常州市天宁区妇幼保健计划生育服务中心</w:t>
    </w:r>
    <w:r>
      <w:t>2021年度单位决算公开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03D3F"/>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27DC8"/>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CA1364"/>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075D18"/>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autoRedefine/>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autoRedefine/>
    <w:qFormat/>
    <w:uiPriority w:val="0"/>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autoRedefine/>
    <w:qFormat/>
    <w:uiPriority w:val="0"/>
  </w:style>
  <w:style w:type="character" w:customStyle="1" w:styleId="16">
    <w:name w:val="页眉 字符"/>
    <w:basedOn w:val="14"/>
    <w:autoRedefine/>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autoRedefine/>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autoRedefine/>
    <w:qFormat/>
    <w:uiPriority w:val="0"/>
    <w:pPr>
      <w:keepNext/>
      <w:spacing w:before="240" w:after="120"/>
    </w:pPr>
    <w:rPr>
      <w:rFonts w:ascii="Liberation Sans" w:hAnsi="Liberation Sans"/>
      <w:sz w:val="28"/>
      <w:szCs w:val="28"/>
    </w:rPr>
  </w:style>
  <w:style w:type="paragraph" w:customStyle="1" w:styleId="19">
    <w:name w:val="索引"/>
    <w:basedOn w:val="1"/>
    <w:autoRedefine/>
    <w:qFormat/>
    <w:uiPriority w:val="0"/>
    <w:pPr>
      <w:suppressLineNumbers/>
    </w:pPr>
  </w:style>
  <w:style w:type="paragraph" w:customStyle="1" w:styleId="20">
    <w:name w:val="页眉与页脚"/>
    <w:basedOn w:val="1"/>
    <w:autoRedefine/>
    <w:qFormat/>
    <w:uiPriority w:val="0"/>
  </w:style>
  <w:style w:type="paragraph" w:customStyle="1" w:styleId="21">
    <w:name w:val="List Paragraph"/>
    <w:basedOn w:val="1"/>
    <w:autoRedefine/>
    <w:qFormat/>
    <w:uiPriority w:val="1"/>
    <w:pPr>
      <w:ind w:left="2039" w:hanging="782"/>
    </w:pPr>
  </w:style>
  <w:style w:type="paragraph" w:customStyle="1" w:styleId="22">
    <w:name w:val="Table Paragraph"/>
    <w:basedOn w:val="1"/>
    <w:autoRedefine/>
    <w:qFormat/>
    <w:uiPriority w:val="1"/>
    <w:rPr>
      <w:rFonts w:ascii="宋体" w:hAnsi="宋体" w:eastAsia="宋体" w:cs="宋体"/>
    </w:rPr>
  </w:style>
  <w:style w:type="paragraph" w:customStyle="1" w:styleId="23">
    <w:name w:val="表格内容"/>
    <w:basedOn w:val="1"/>
    <w:autoRedefine/>
    <w:qFormat/>
    <w:uiPriority w:val="0"/>
    <w:pPr>
      <w:suppressLineNumbers/>
    </w:pPr>
  </w:style>
  <w:style w:type="paragraph" w:customStyle="1" w:styleId="24">
    <w:name w:val="表格标题"/>
    <w:basedOn w:val="23"/>
    <w:autoRedefine/>
    <w:qFormat/>
    <w:uiPriority w:val="0"/>
    <w:pPr>
      <w:jc w:val="center"/>
    </w:pPr>
    <w:rPr>
      <w:b/>
      <w:bCs/>
    </w:rPr>
  </w:style>
  <w:style w:type="paragraph" w:customStyle="1" w:styleId="25">
    <w:name w:val="预格式化的文本"/>
    <w:basedOn w:val="1"/>
    <w:autoRedefine/>
    <w:qFormat/>
    <w:uiPriority w:val="0"/>
    <w:rPr>
      <w:rFonts w:ascii="Liberation Mono" w:hAnsi="Liberation Mono" w:eastAsia="新宋体" w:cs="Liberation Mono"/>
      <w:sz w:val="20"/>
      <w:szCs w:val="20"/>
    </w:rPr>
  </w:style>
  <w:style w:type="table" w:customStyle="1" w:styleId="26">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14901</Words>
  <Characters>18439</Characters>
  <Paragraphs>501</Paragraphs>
  <TotalTime>7</TotalTime>
  <ScaleCrop>false</ScaleCrop>
  <LinksUpToDate>false</LinksUpToDate>
  <CharactersWithSpaces>19159</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丹丹</cp:lastModifiedBy>
  <dcterms:modified xsi:type="dcterms:W3CDTF">2024-05-09T07:48:16Z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2265764710FB42E2B2EB605E0DB827C0</vt:lpwstr>
  </property>
  <property fmtid="{D5CDD505-2E9C-101B-9397-08002B2CF9AE}" pid="5" name="KSOProductBuildVer">
    <vt:lpwstr>2052-12.1.0.16910</vt:lpwstr>
  </property>
  <property fmtid="{D5CDD505-2E9C-101B-9397-08002B2CF9AE}" pid="6" name="LastSaved">
    <vt:filetime>2021-04-15T00:00:00Z</vt:filetime>
  </property>
</Properties>
</file>