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left"/>
        <w:textAlignment w:val="auto"/>
        <w:rPr>
          <w:rFonts w:hint="default" w:ascii="Times New Roman" w:hAnsi="Times New Roman" w:eastAsia="方正黑体_GBK" w:cs="Times New Roman"/>
          <w:color w:val="auto"/>
          <w:spacing w:val="-14"/>
          <w:lang w:val="zh-CN"/>
        </w:rPr>
      </w:pPr>
      <w:r>
        <w:rPr>
          <w:rFonts w:hint="default" w:ascii="Times New Roman" w:hAnsi="Times New Roman" w:eastAsia="方正黑体_GBK" w:cs="Times New Roman"/>
          <w:color w:val="auto"/>
          <w:spacing w:val="-14"/>
          <w:lang w:val="zh-CN"/>
        </w:rPr>
        <w:t>附件1</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Times New Roman" w:hAnsi="Times New Roman" w:eastAsia="方正小标宋简体" w:cs="Times New Roman"/>
          <w:color w:val="auto"/>
          <w:sz w:val="44"/>
          <w:szCs w:val="44"/>
          <w:lang w:val="zh-CN"/>
        </w:rPr>
      </w:pPr>
      <w:r>
        <w:rPr>
          <w:rFonts w:hint="default" w:ascii="Times New Roman" w:hAnsi="Times New Roman" w:eastAsia="方正小标宋_GBK" w:cs="Times New Roman"/>
          <w:color w:val="auto"/>
          <w:sz w:val="44"/>
          <w:szCs w:val="44"/>
          <w:lang w:val="zh-CN"/>
        </w:rPr>
        <w:t>天宁区2024年主要入湖河流上游关联骨干河流、重点支流水质目标任务</w:t>
      </w:r>
    </w:p>
    <w:tbl>
      <w:tblPr>
        <w:tblStyle w:val="14"/>
        <w:tblW w:w="1417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5"/>
        <w:gridCol w:w="1697"/>
        <w:gridCol w:w="1864"/>
        <w:gridCol w:w="1978"/>
        <w:gridCol w:w="1458"/>
        <w:gridCol w:w="1507"/>
        <w:gridCol w:w="2205"/>
        <w:gridCol w:w="25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85" w:type="dxa"/>
            <w:vAlign w:val="center"/>
          </w:tcPr>
          <w:p>
            <w:pPr>
              <w:keepNext w:val="0"/>
              <w:keepLines w:val="0"/>
              <w:pageBreakBefore w:val="0"/>
              <w:kinsoku/>
              <w:wordWrap/>
              <w:overflowPunct/>
              <w:topLinePunct w:val="0"/>
              <w:autoSpaceDE/>
              <w:autoSpaceDN/>
              <w:bidi w:val="0"/>
              <w:adjustRightInd w:val="0"/>
              <w:snapToGrid w:val="0"/>
              <w:spacing w:line="370" w:lineRule="exact"/>
              <w:ind w:firstLine="0" w:firstLineChars="0"/>
              <w:jc w:val="center"/>
              <w:rPr>
                <w:rFonts w:hint="eastAsia" w:ascii="方正黑体_GBK" w:hAnsi="方正黑体_GBK" w:eastAsia="方正黑体_GBK" w:cs="方正黑体_GBK"/>
                <w:color w:val="auto"/>
                <w:sz w:val="24"/>
                <w:szCs w:val="24"/>
                <w:lang w:val="zh-CN"/>
              </w:rPr>
            </w:pPr>
            <w:r>
              <w:rPr>
                <w:rFonts w:hint="eastAsia" w:ascii="方正黑体_GBK" w:hAnsi="方正黑体_GBK" w:eastAsia="方正黑体_GBK" w:cs="方正黑体_GBK"/>
                <w:color w:val="auto"/>
                <w:sz w:val="24"/>
                <w:szCs w:val="24"/>
                <w:lang w:val="zh-CN"/>
              </w:rPr>
              <w:t>序号</w:t>
            </w:r>
          </w:p>
        </w:tc>
        <w:tc>
          <w:tcPr>
            <w:tcW w:w="1697" w:type="dxa"/>
            <w:vAlign w:val="center"/>
          </w:tcPr>
          <w:p>
            <w:pPr>
              <w:keepNext w:val="0"/>
              <w:keepLines w:val="0"/>
              <w:pageBreakBefore w:val="0"/>
              <w:kinsoku/>
              <w:wordWrap/>
              <w:overflowPunct/>
              <w:topLinePunct w:val="0"/>
              <w:autoSpaceDE/>
              <w:autoSpaceDN/>
              <w:bidi w:val="0"/>
              <w:adjustRightInd w:val="0"/>
              <w:snapToGrid w:val="0"/>
              <w:spacing w:line="370" w:lineRule="exact"/>
              <w:ind w:firstLine="0" w:firstLineChars="0"/>
              <w:jc w:val="center"/>
              <w:rPr>
                <w:rFonts w:hint="eastAsia" w:ascii="方正黑体_GBK" w:hAnsi="方正黑体_GBK" w:eastAsia="方正黑体_GBK" w:cs="方正黑体_GBK"/>
                <w:color w:val="auto"/>
                <w:sz w:val="24"/>
                <w:szCs w:val="24"/>
                <w:lang w:val="zh-CN"/>
              </w:rPr>
            </w:pPr>
            <w:r>
              <w:rPr>
                <w:rFonts w:hint="eastAsia" w:ascii="方正黑体_GBK" w:hAnsi="方正黑体_GBK" w:eastAsia="方正黑体_GBK" w:cs="方正黑体_GBK"/>
                <w:color w:val="auto"/>
                <w:sz w:val="24"/>
                <w:szCs w:val="24"/>
                <w:lang w:val="zh-CN"/>
              </w:rPr>
              <w:t>水系</w:t>
            </w:r>
          </w:p>
        </w:tc>
        <w:tc>
          <w:tcPr>
            <w:tcW w:w="1864" w:type="dxa"/>
            <w:vAlign w:val="center"/>
          </w:tcPr>
          <w:p>
            <w:pPr>
              <w:keepNext w:val="0"/>
              <w:keepLines w:val="0"/>
              <w:pageBreakBefore w:val="0"/>
              <w:kinsoku/>
              <w:wordWrap/>
              <w:overflowPunct/>
              <w:topLinePunct w:val="0"/>
              <w:autoSpaceDE/>
              <w:autoSpaceDN/>
              <w:bidi w:val="0"/>
              <w:adjustRightInd w:val="0"/>
              <w:snapToGrid w:val="0"/>
              <w:spacing w:line="370" w:lineRule="exact"/>
              <w:ind w:firstLine="0" w:firstLineChars="0"/>
              <w:jc w:val="center"/>
              <w:rPr>
                <w:rFonts w:hint="eastAsia" w:ascii="方正黑体_GBK" w:hAnsi="方正黑体_GBK" w:eastAsia="方正黑体_GBK" w:cs="方正黑体_GBK"/>
                <w:color w:val="auto"/>
                <w:sz w:val="24"/>
                <w:szCs w:val="24"/>
                <w:lang w:val="zh-CN"/>
              </w:rPr>
            </w:pPr>
            <w:r>
              <w:rPr>
                <w:rFonts w:hint="eastAsia" w:ascii="方正黑体_GBK" w:hAnsi="方正黑体_GBK" w:eastAsia="方正黑体_GBK" w:cs="方正黑体_GBK"/>
                <w:color w:val="auto"/>
                <w:sz w:val="24"/>
                <w:szCs w:val="24"/>
                <w:lang w:val="zh-CN"/>
              </w:rPr>
              <w:t>所在河流</w:t>
            </w:r>
          </w:p>
        </w:tc>
        <w:tc>
          <w:tcPr>
            <w:tcW w:w="1978" w:type="dxa"/>
            <w:vAlign w:val="center"/>
          </w:tcPr>
          <w:p>
            <w:pPr>
              <w:keepNext w:val="0"/>
              <w:keepLines w:val="0"/>
              <w:pageBreakBefore w:val="0"/>
              <w:kinsoku/>
              <w:wordWrap/>
              <w:overflowPunct/>
              <w:topLinePunct w:val="0"/>
              <w:autoSpaceDE/>
              <w:autoSpaceDN/>
              <w:bidi w:val="0"/>
              <w:adjustRightInd w:val="0"/>
              <w:snapToGrid w:val="0"/>
              <w:spacing w:line="370" w:lineRule="exact"/>
              <w:ind w:firstLine="0" w:firstLineChars="0"/>
              <w:jc w:val="center"/>
              <w:rPr>
                <w:rFonts w:hint="eastAsia" w:ascii="方正黑体_GBK" w:hAnsi="方正黑体_GBK" w:eastAsia="方正黑体_GBK" w:cs="方正黑体_GBK"/>
                <w:color w:val="auto"/>
                <w:sz w:val="24"/>
                <w:szCs w:val="24"/>
                <w:lang w:val="zh-CN"/>
              </w:rPr>
            </w:pPr>
            <w:r>
              <w:rPr>
                <w:rFonts w:hint="eastAsia" w:ascii="方正黑体_GBK" w:hAnsi="方正黑体_GBK" w:eastAsia="方正黑体_GBK" w:cs="方正黑体_GBK"/>
                <w:color w:val="auto"/>
                <w:sz w:val="24"/>
                <w:szCs w:val="24"/>
                <w:lang w:val="zh-CN"/>
              </w:rPr>
              <w:t>河流属性</w:t>
            </w:r>
          </w:p>
        </w:tc>
        <w:tc>
          <w:tcPr>
            <w:tcW w:w="1458" w:type="dxa"/>
            <w:vAlign w:val="center"/>
          </w:tcPr>
          <w:p>
            <w:pPr>
              <w:keepNext w:val="0"/>
              <w:keepLines w:val="0"/>
              <w:pageBreakBefore w:val="0"/>
              <w:kinsoku/>
              <w:wordWrap/>
              <w:overflowPunct/>
              <w:topLinePunct w:val="0"/>
              <w:autoSpaceDE/>
              <w:autoSpaceDN/>
              <w:bidi w:val="0"/>
              <w:adjustRightInd w:val="0"/>
              <w:snapToGrid w:val="0"/>
              <w:spacing w:line="370" w:lineRule="exact"/>
              <w:ind w:firstLine="0" w:firstLineChars="0"/>
              <w:jc w:val="center"/>
              <w:rPr>
                <w:rFonts w:hint="eastAsia" w:ascii="方正黑体_GBK" w:hAnsi="方正黑体_GBK" w:eastAsia="方正黑体_GBK" w:cs="方正黑体_GBK"/>
                <w:color w:val="auto"/>
                <w:sz w:val="24"/>
                <w:szCs w:val="24"/>
                <w:lang w:val="zh-CN"/>
              </w:rPr>
            </w:pPr>
            <w:r>
              <w:rPr>
                <w:rFonts w:hint="eastAsia" w:ascii="方正黑体_GBK" w:hAnsi="方正黑体_GBK" w:eastAsia="方正黑体_GBK" w:cs="方正黑体_GBK"/>
                <w:color w:val="auto"/>
                <w:sz w:val="24"/>
                <w:szCs w:val="24"/>
                <w:lang w:val="zh-CN"/>
              </w:rPr>
              <w:t>河流类别</w:t>
            </w:r>
          </w:p>
        </w:tc>
        <w:tc>
          <w:tcPr>
            <w:tcW w:w="1507" w:type="dxa"/>
            <w:vAlign w:val="center"/>
          </w:tcPr>
          <w:p>
            <w:pPr>
              <w:keepNext w:val="0"/>
              <w:keepLines w:val="0"/>
              <w:pageBreakBefore w:val="0"/>
              <w:kinsoku/>
              <w:wordWrap/>
              <w:overflowPunct/>
              <w:topLinePunct w:val="0"/>
              <w:autoSpaceDE/>
              <w:autoSpaceDN/>
              <w:bidi w:val="0"/>
              <w:adjustRightInd w:val="0"/>
              <w:snapToGrid w:val="0"/>
              <w:spacing w:line="370" w:lineRule="exact"/>
              <w:ind w:firstLine="0" w:firstLineChars="0"/>
              <w:jc w:val="center"/>
              <w:rPr>
                <w:rFonts w:hint="eastAsia" w:ascii="方正黑体_GBK" w:hAnsi="方正黑体_GBK" w:eastAsia="方正黑体_GBK" w:cs="方正黑体_GBK"/>
                <w:color w:val="auto"/>
                <w:sz w:val="24"/>
                <w:szCs w:val="24"/>
                <w:lang w:val="zh-CN"/>
              </w:rPr>
            </w:pPr>
            <w:r>
              <w:rPr>
                <w:rFonts w:hint="eastAsia" w:ascii="方正黑体_GBK" w:hAnsi="方正黑体_GBK" w:eastAsia="方正黑体_GBK" w:cs="方正黑体_GBK"/>
                <w:color w:val="auto"/>
                <w:sz w:val="24"/>
                <w:szCs w:val="24"/>
                <w:lang w:val="zh-CN"/>
              </w:rPr>
              <w:t>断面名称</w:t>
            </w:r>
          </w:p>
        </w:tc>
        <w:tc>
          <w:tcPr>
            <w:tcW w:w="2205" w:type="dxa"/>
            <w:vAlign w:val="center"/>
          </w:tcPr>
          <w:p>
            <w:pPr>
              <w:keepNext w:val="0"/>
              <w:keepLines w:val="0"/>
              <w:pageBreakBefore w:val="0"/>
              <w:kinsoku/>
              <w:wordWrap/>
              <w:overflowPunct/>
              <w:topLinePunct w:val="0"/>
              <w:autoSpaceDE/>
              <w:autoSpaceDN/>
              <w:bidi w:val="0"/>
              <w:adjustRightInd w:val="0"/>
              <w:snapToGrid w:val="0"/>
              <w:spacing w:line="370" w:lineRule="exact"/>
              <w:ind w:firstLine="0" w:firstLineChars="0"/>
              <w:jc w:val="center"/>
              <w:rPr>
                <w:rFonts w:hint="eastAsia" w:ascii="方正黑体_GBK" w:hAnsi="方正黑体_GBK" w:eastAsia="方正黑体_GBK" w:cs="方正黑体_GBK"/>
                <w:color w:val="auto"/>
                <w:sz w:val="24"/>
                <w:szCs w:val="24"/>
                <w:lang w:val="zh-CN"/>
              </w:rPr>
            </w:pPr>
            <w:r>
              <w:rPr>
                <w:rFonts w:hint="eastAsia" w:ascii="方正黑体_GBK" w:hAnsi="方正黑体_GBK" w:eastAsia="方正黑体_GBK" w:cs="方正黑体_GBK"/>
                <w:color w:val="auto"/>
                <w:sz w:val="24"/>
                <w:szCs w:val="24"/>
                <w:lang w:val="zh-CN"/>
              </w:rPr>
              <w:t>责任</w:t>
            </w:r>
            <w:r>
              <w:rPr>
                <w:rFonts w:hint="eastAsia" w:ascii="方正黑体_GBK" w:hAnsi="方正黑体_GBK" w:eastAsia="方正黑体_GBK" w:cs="方正黑体_GBK"/>
                <w:color w:val="auto"/>
                <w:sz w:val="24"/>
                <w:szCs w:val="24"/>
              </w:rPr>
              <w:t>板块</w:t>
            </w:r>
          </w:p>
        </w:tc>
        <w:tc>
          <w:tcPr>
            <w:tcW w:w="2580" w:type="dxa"/>
            <w:vAlign w:val="center"/>
          </w:tcPr>
          <w:p>
            <w:pPr>
              <w:keepNext w:val="0"/>
              <w:keepLines w:val="0"/>
              <w:pageBreakBefore w:val="0"/>
              <w:kinsoku/>
              <w:wordWrap/>
              <w:overflowPunct/>
              <w:topLinePunct w:val="0"/>
              <w:autoSpaceDE/>
              <w:autoSpaceDN/>
              <w:bidi w:val="0"/>
              <w:adjustRightInd w:val="0"/>
              <w:snapToGrid w:val="0"/>
              <w:spacing w:line="370" w:lineRule="exact"/>
              <w:ind w:firstLine="0" w:firstLineChars="0"/>
              <w:jc w:val="center"/>
              <w:rPr>
                <w:rFonts w:hint="eastAsia" w:ascii="方正黑体_GBK" w:hAnsi="方正黑体_GBK" w:eastAsia="方正黑体_GBK" w:cs="方正黑体_GBK"/>
                <w:color w:val="auto"/>
                <w:sz w:val="24"/>
                <w:szCs w:val="24"/>
                <w:lang w:val="zh-CN"/>
              </w:rPr>
            </w:pPr>
            <w:r>
              <w:rPr>
                <w:rFonts w:hint="eastAsia" w:ascii="方正黑体_GBK" w:hAnsi="方正黑体_GBK" w:eastAsia="方正黑体_GBK" w:cs="方正黑体_GBK"/>
                <w:color w:val="auto"/>
                <w:sz w:val="24"/>
                <w:szCs w:val="24"/>
                <w:lang w:val="zh-CN"/>
              </w:rPr>
              <w:t>2024年水质目标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85" w:type="dxa"/>
            <w:vAlign w:val="center"/>
          </w:tcPr>
          <w:p>
            <w:pPr>
              <w:keepNext w:val="0"/>
              <w:keepLines w:val="0"/>
              <w:pageBreakBefore w:val="0"/>
              <w:numPr>
                <w:ilvl w:val="0"/>
                <w:numId w:val="1"/>
              </w:numPr>
              <w:kinsoku/>
              <w:wordWrap/>
              <w:overflowPunct/>
              <w:topLinePunct w:val="0"/>
              <w:autoSpaceDE/>
              <w:autoSpaceDN/>
              <w:bidi w:val="0"/>
              <w:adjustRightInd w:val="0"/>
              <w:snapToGrid w:val="0"/>
              <w:spacing w:line="37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697"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r>
              <w:rPr>
                <w:rFonts w:hint="default" w:ascii="Times New Roman" w:hAnsi="Times New Roman" w:eastAsia="方正仿宋_GBK" w:cs="Times New Roman"/>
                <w:snapToGrid w:val="0"/>
                <w:color w:val="auto"/>
                <w:sz w:val="24"/>
                <w:szCs w:val="24"/>
                <w:lang w:val="zh-CN" w:bidi="ar"/>
              </w:rPr>
              <w:t>新沟河水系</w:t>
            </w:r>
          </w:p>
        </w:tc>
        <w:tc>
          <w:tcPr>
            <w:tcW w:w="1864" w:type="dxa"/>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r>
              <w:rPr>
                <w:rFonts w:hint="default" w:ascii="Times New Roman" w:hAnsi="Times New Roman" w:eastAsia="方正仿宋_GBK" w:cs="Times New Roman"/>
                <w:snapToGrid w:val="0"/>
                <w:color w:val="auto"/>
                <w:sz w:val="24"/>
                <w:szCs w:val="24"/>
                <w:lang w:val="zh-CN" w:bidi="ar"/>
              </w:rPr>
              <w:t>三山港</w:t>
            </w:r>
          </w:p>
        </w:tc>
        <w:tc>
          <w:tcPr>
            <w:tcW w:w="1978" w:type="dxa"/>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r>
              <w:rPr>
                <w:rFonts w:hint="default" w:ascii="Times New Roman" w:hAnsi="Times New Roman" w:eastAsia="方正仿宋_GBK" w:cs="Times New Roman"/>
                <w:snapToGrid w:val="0"/>
                <w:color w:val="auto"/>
                <w:sz w:val="24"/>
                <w:szCs w:val="24"/>
                <w:lang w:val="zh-CN" w:bidi="ar"/>
              </w:rPr>
              <w:t>上游关联河流</w:t>
            </w:r>
          </w:p>
        </w:tc>
        <w:tc>
          <w:tcPr>
            <w:tcW w:w="1458" w:type="dxa"/>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r>
              <w:rPr>
                <w:rFonts w:hint="default" w:ascii="Times New Roman" w:hAnsi="Times New Roman" w:eastAsia="方正仿宋_GBK" w:cs="Times New Roman"/>
                <w:snapToGrid w:val="0"/>
                <w:color w:val="auto"/>
                <w:sz w:val="24"/>
                <w:szCs w:val="24"/>
                <w:lang w:val="zh-CN" w:bidi="ar"/>
              </w:rPr>
              <w:t>第二类</w:t>
            </w:r>
          </w:p>
        </w:tc>
        <w:tc>
          <w:tcPr>
            <w:tcW w:w="1507" w:type="dxa"/>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r>
              <w:rPr>
                <w:rFonts w:hint="default" w:ascii="Times New Roman" w:hAnsi="Times New Roman" w:eastAsia="方正仿宋_GBK" w:cs="Times New Roman"/>
                <w:snapToGrid w:val="0"/>
                <w:color w:val="auto"/>
                <w:sz w:val="24"/>
                <w:szCs w:val="24"/>
                <w:lang w:val="zh-CN" w:bidi="ar"/>
              </w:rPr>
              <w:t>石堰桥</w:t>
            </w:r>
          </w:p>
        </w:tc>
        <w:tc>
          <w:tcPr>
            <w:tcW w:w="2205" w:type="dxa"/>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r>
              <w:rPr>
                <w:rFonts w:hint="default" w:ascii="Times New Roman" w:hAnsi="Times New Roman" w:eastAsia="方正仿宋_GBK" w:cs="Times New Roman"/>
                <w:snapToGrid w:val="0"/>
                <w:color w:val="auto"/>
                <w:sz w:val="24"/>
                <w:szCs w:val="24"/>
                <w:lang w:bidi="ar"/>
              </w:rPr>
              <w:t>郑陆镇</w:t>
            </w:r>
          </w:p>
        </w:tc>
        <w:tc>
          <w:tcPr>
            <w:tcW w:w="2580" w:type="dxa"/>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r>
              <w:rPr>
                <w:rFonts w:hint="default" w:ascii="Times New Roman" w:hAnsi="Times New Roman" w:eastAsia="方正仿宋_GBK" w:cs="Times New Roman"/>
                <w:snapToGrid w:val="0"/>
                <w:color w:val="auto"/>
                <w:sz w:val="24"/>
                <w:szCs w:val="24"/>
                <w:lang w:val="zh-CN" w:bidi="ar"/>
              </w:rPr>
              <w:t>总磷≤0.109mg/L，</w:t>
            </w:r>
          </w:p>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r>
              <w:rPr>
                <w:rFonts w:hint="default" w:ascii="Times New Roman" w:hAnsi="Times New Roman" w:eastAsia="方正仿宋_GBK" w:cs="Times New Roman"/>
                <w:snapToGrid w:val="0"/>
                <w:color w:val="auto"/>
                <w:sz w:val="24"/>
                <w:szCs w:val="24"/>
                <w:lang w:val="zh-CN" w:bidi="ar"/>
              </w:rPr>
              <w:t>总氮≤3.2mg/L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85" w:type="dxa"/>
            <w:vAlign w:val="center"/>
          </w:tcPr>
          <w:p>
            <w:pPr>
              <w:keepNext w:val="0"/>
              <w:keepLines w:val="0"/>
              <w:pageBreakBefore w:val="0"/>
              <w:numPr>
                <w:ilvl w:val="0"/>
                <w:numId w:val="1"/>
              </w:numPr>
              <w:kinsoku/>
              <w:wordWrap/>
              <w:overflowPunct/>
              <w:topLinePunct w:val="0"/>
              <w:autoSpaceDE/>
              <w:autoSpaceDN/>
              <w:bidi w:val="0"/>
              <w:adjustRightInd w:val="0"/>
              <w:snapToGrid w:val="0"/>
              <w:spacing w:line="37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69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p>
        </w:tc>
        <w:tc>
          <w:tcPr>
            <w:tcW w:w="1864" w:type="dxa"/>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r>
              <w:rPr>
                <w:rFonts w:hint="default" w:ascii="Times New Roman" w:hAnsi="Times New Roman" w:eastAsia="方正仿宋_GBK" w:cs="Times New Roman"/>
                <w:snapToGrid w:val="0"/>
                <w:color w:val="auto"/>
                <w:sz w:val="24"/>
                <w:szCs w:val="24"/>
                <w:lang w:val="zh-CN" w:bidi="ar"/>
              </w:rPr>
              <w:t>北塘河</w:t>
            </w:r>
          </w:p>
        </w:tc>
        <w:tc>
          <w:tcPr>
            <w:tcW w:w="1978" w:type="dxa"/>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r>
              <w:rPr>
                <w:rFonts w:hint="default" w:ascii="Times New Roman" w:hAnsi="Times New Roman" w:eastAsia="方正仿宋_GBK" w:cs="Times New Roman"/>
                <w:snapToGrid w:val="0"/>
                <w:color w:val="auto"/>
                <w:sz w:val="24"/>
                <w:szCs w:val="24"/>
                <w:lang w:val="zh-CN" w:bidi="ar"/>
              </w:rPr>
              <w:t>重点支流</w:t>
            </w:r>
          </w:p>
        </w:tc>
        <w:tc>
          <w:tcPr>
            <w:tcW w:w="1458" w:type="dxa"/>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r>
              <w:rPr>
                <w:rFonts w:hint="default" w:ascii="Times New Roman" w:hAnsi="Times New Roman" w:eastAsia="方正仿宋_GBK" w:cs="Times New Roman"/>
                <w:snapToGrid w:val="0"/>
                <w:color w:val="auto"/>
                <w:sz w:val="24"/>
                <w:szCs w:val="24"/>
                <w:lang w:val="zh-CN" w:bidi="ar"/>
              </w:rPr>
              <w:t>第三类</w:t>
            </w:r>
          </w:p>
        </w:tc>
        <w:tc>
          <w:tcPr>
            <w:tcW w:w="1507" w:type="dxa"/>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r>
              <w:rPr>
                <w:rFonts w:hint="default" w:ascii="Times New Roman" w:hAnsi="Times New Roman" w:eastAsia="方正仿宋_GBK" w:cs="Times New Roman"/>
                <w:snapToGrid w:val="0"/>
                <w:color w:val="auto"/>
                <w:sz w:val="24"/>
                <w:szCs w:val="24"/>
                <w:lang w:val="zh-CN" w:bidi="ar"/>
              </w:rPr>
              <w:t>石埝桥</w:t>
            </w:r>
          </w:p>
        </w:tc>
        <w:tc>
          <w:tcPr>
            <w:tcW w:w="2205" w:type="dxa"/>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bidi="ar"/>
              </w:rPr>
            </w:pPr>
            <w:r>
              <w:rPr>
                <w:rFonts w:hint="default" w:ascii="Times New Roman" w:hAnsi="Times New Roman" w:eastAsia="方正仿宋_GBK" w:cs="Times New Roman"/>
                <w:snapToGrid w:val="0"/>
                <w:color w:val="auto"/>
                <w:sz w:val="24"/>
                <w:szCs w:val="24"/>
                <w:lang w:bidi="ar"/>
              </w:rPr>
              <w:t>天宁街道</w:t>
            </w:r>
          </w:p>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bidi="ar"/>
              </w:rPr>
            </w:pPr>
            <w:r>
              <w:rPr>
                <w:rFonts w:hint="default" w:ascii="Times New Roman" w:hAnsi="Times New Roman" w:eastAsia="方正仿宋_GBK" w:cs="Times New Roman"/>
                <w:snapToGrid w:val="0"/>
                <w:color w:val="auto"/>
                <w:sz w:val="24"/>
                <w:szCs w:val="24"/>
                <w:lang w:bidi="ar"/>
              </w:rPr>
              <w:t>红梅街道</w:t>
            </w:r>
          </w:p>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bidi="ar"/>
              </w:rPr>
            </w:pPr>
            <w:r>
              <w:rPr>
                <w:rFonts w:hint="default" w:ascii="Times New Roman" w:hAnsi="Times New Roman" w:eastAsia="方正仿宋_GBK" w:cs="Times New Roman"/>
                <w:snapToGrid w:val="0"/>
                <w:color w:val="auto"/>
                <w:sz w:val="24"/>
                <w:szCs w:val="24"/>
                <w:lang w:bidi="ar"/>
              </w:rPr>
              <w:t>开发区（青龙街道）</w:t>
            </w:r>
          </w:p>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bidi="ar"/>
              </w:rPr>
            </w:pPr>
            <w:r>
              <w:rPr>
                <w:rFonts w:hint="default" w:ascii="Times New Roman" w:hAnsi="Times New Roman" w:eastAsia="方正仿宋_GBK" w:cs="Times New Roman"/>
                <w:snapToGrid w:val="0"/>
                <w:color w:val="auto"/>
                <w:sz w:val="24"/>
                <w:szCs w:val="24"/>
                <w:lang w:bidi="ar"/>
              </w:rPr>
              <w:t>郑陆镇</w:t>
            </w:r>
          </w:p>
        </w:tc>
        <w:tc>
          <w:tcPr>
            <w:tcW w:w="2580" w:type="dxa"/>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r>
              <w:rPr>
                <w:rFonts w:hint="default" w:ascii="Times New Roman" w:hAnsi="Times New Roman" w:eastAsia="方正仿宋_GBK" w:cs="Times New Roman"/>
                <w:snapToGrid w:val="0"/>
                <w:color w:val="auto"/>
                <w:sz w:val="24"/>
                <w:szCs w:val="24"/>
                <w:lang w:val="zh-CN" w:bidi="ar"/>
              </w:rPr>
              <w:t>总磷≤0.106mg/L，</w:t>
            </w:r>
          </w:p>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r>
              <w:rPr>
                <w:rFonts w:hint="default" w:ascii="Times New Roman" w:hAnsi="Times New Roman" w:eastAsia="方正仿宋_GBK" w:cs="Times New Roman"/>
                <w:snapToGrid w:val="0"/>
                <w:color w:val="auto"/>
                <w:sz w:val="24"/>
                <w:szCs w:val="24"/>
                <w:lang w:val="zh-CN" w:bidi="ar"/>
              </w:rPr>
              <w:t>总氮≤3.2mg/L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85" w:type="dxa"/>
            <w:vAlign w:val="center"/>
          </w:tcPr>
          <w:p>
            <w:pPr>
              <w:keepNext w:val="0"/>
              <w:keepLines w:val="0"/>
              <w:pageBreakBefore w:val="0"/>
              <w:numPr>
                <w:ilvl w:val="0"/>
                <w:numId w:val="1"/>
              </w:numPr>
              <w:kinsoku/>
              <w:wordWrap/>
              <w:overflowPunct/>
              <w:topLinePunct w:val="0"/>
              <w:autoSpaceDE/>
              <w:autoSpaceDN/>
              <w:bidi w:val="0"/>
              <w:adjustRightInd w:val="0"/>
              <w:snapToGrid w:val="0"/>
              <w:spacing w:line="37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69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p>
        </w:tc>
        <w:tc>
          <w:tcPr>
            <w:tcW w:w="1864" w:type="dxa"/>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r>
              <w:rPr>
                <w:rFonts w:hint="default" w:ascii="Times New Roman" w:hAnsi="Times New Roman" w:eastAsia="方正仿宋_GBK" w:cs="Times New Roman"/>
                <w:snapToGrid w:val="0"/>
                <w:color w:val="auto"/>
                <w:sz w:val="24"/>
                <w:szCs w:val="24"/>
                <w:lang w:val="zh-CN" w:bidi="ar"/>
              </w:rPr>
              <w:t>京杭运河</w:t>
            </w:r>
          </w:p>
        </w:tc>
        <w:tc>
          <w:tcPr>
            <w:tcW w:w="1978" w:type="dxa"/>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r>
              <w:rPr>
                <w:rFonts w:hint="default" w:ascii="Times New Roman" w:hAnsi="Times New Roman" w:eastAsia="方正仿宋_GBK" w:cs="Times New Roman"/>
                <w:snapToGrid w:val="0"/>
                <w:color w:val="auto"/>
                <w:sz w:val="24"/>
                <w:szCs w:val="24"/>
                <w:lang w:val="zh-CN" w:bidi="ar"/>
              </w:rPr>
              <w:t>上游关联河流</w:t>
            </w:r>
          </w:p>
        </w:tc>
        <w:tc>
          <w:tcPr>
            <w:tcW w:w="1458" w:type="dxa"/>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r>
              <w:rPr>
                <w:rFonts w:hint="default" w:ascii="Times New Roman" w:hAnsi="Times New Roman" w:eastAsia="方正仿宋_GBK" w:cs="Times New Roman"/>
                <w:snapToGrid w:val="0"/>
                <w:color w:val="auto"/>
                <w:sz w:val="24"/>
                <w:szCs w:val="24"/>
                <w:lang w:val="zh-CN" w:bidi="ar"/>
              </w:rPr>
              <w:t>第二类</w:t>
            </w:r>
          </w:p>
        </w:tc>
        <w:tc>
          <w:tcPr>
            <w:tcW w:w="1507" w:type="dxa"/>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r>
              <w:rPr>
                <w:rFonts w:hint="default" w:ascii="Times New Roman" w:hAnsi="Times New Roman" w:eastAsia="方正仿宋_GBK" w:cs="Times New Roman"/>
                <w:snapToGrid w:val="0"/>
                <w:color w:val="auto"/>
                <w:sz w:val="24"/>
                <w:szCs w:val="24"/>
                <w:lang w:val="zh-CN" w:bidi="ar"/>
              </w:rPr>
              <w:t>延陵大桥</w:t>
            </w:r>
          </w:p>
        </w:tc>
        <w:tc>
          <w:tcPr>
            <w:tcW w:w="220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bidi="ar"/>
              </w:rPr>
            </w:pPr>
            <w:r>
              <w:rPr>
                <w:rFonts w:hint="default" w:ascii="Times New Roman" w:hAnsi="Times New Roman" w:eastAsia="方正仿宋_GBK" w:cs="Times New Roman"/>
                <w:snapToGrid w:val="0"/>
                <w:color w:val="auto"/>
                <w:sz w:val="24"/>
                <w:szCs w:val="24"/>
                <w:lang w:bidi="ar"/>
              </w:rPr>
              <w:t>兰陵街道</w:t>
            </w:r>
          </w:p>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bidi="ar"/>
              </w:rPr>
            </w:pPr>
            <w:r>
              <w:rPr>
                <w:rFonts w:hint="default" w:ascii="Times New Roman" w:hAnsi="Times New Roman" w:eastAsia="方正仿宋_GBK" w:cs="Times New Roman"/>
                <w:snapToGrid w:val="0"/>
                <w:color w:val="auto"/>
                <w:sz w:val="24"/>
                <w:szCs w:val="24"/>
                <w:lang w:bidi="ar"/>
              </w:rPr>
              <w:t>茶山街道</w:t>
            </w:r>
          </w:p>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bidi="ar"/>
              </w:rPr>
            </w:pPr>
            <w:r>
              <w:rPr>
                <w:rFonts w:hint="default" w:ascii="Times New Roman" w:hAnsi="Times New Roman" w:eastAsia="方正仿宋_GBK" w:cs="Times New Roman"/>
                <w:snapToGrid w:val="0"/>
                <w:color w:val="auto"/>
                <w:sz w:val="24"/>
                <w:szCs w:val="24"/>
                <w:lang w:bidi="ar"/>
              </w:rPr>
              <w:t>天宁街道</w:t>
            </w:r>
          </w:p>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bidi="ar"/>
              </w:rPr>
            </w:pPr>
            <w:r>
              <w:rPr>
                <w:rFonts w:hint="default" w:ascii="Times New Roman" w:hAnsi="Times New Roman" w:eastAsia="方正仿宋_GBK" w:cs="Times New Roman"/>
                <w:snapToGrid w:val="0"/>
                <w:color w:val="auto"/>
                <w:sz w:val="24"/>
                <w:szCs w:val="24"/>
                <w:lang w:bidi="ar"/>
              </w:rPr>
              <w:t>雕庄街道</w:t>
            </w:r>
          </w:p>
        </w:tc>
        <w:tc>
          <w:tcPr>
            <w:tcW w:w="2580" w:type="dxa"/>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r>
              <w:rPr>
                <w:rFonts w:hint="default" w:ascii="Times New Roman" w:hAnsi="Times New Roman" w:eastAsia="方正仿宋_GBK" w:cs="Times New Roman"/>
                <w:snapToGrid w:val="0"/>
                <w:color w:val="auto"/>
                <w:sz w:val="24"/>
                <w:szCs w:val="24"/>
                <w:lang w:val="zh-CN" w:bidi="ar"/>
              </w:rPr>
              <w:t>总磷≤0.104mg/L，</w:t>
            </w:r>
          </w:p>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r>
              <w:rPr>
                <w:rFonts w:hint="default" w:ascii="Times New Roman" w:hAnsi="Times New Roman" w:eastAsia="方正仿宋_GBK" w:cs="Times New Roman"/>
                <w:snapToGrid w:val="0"/>
                <w:color w:val="auto"/>
                <w:sz w:val="24"/>
                <w:szCs w:val="24"/>
                <w:lang w:val="zh-CN" w:bidi="ar"/>
              </w:rPr>
              <w:t>总氮≤3.2mg/L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85" w:type="dxa"/>
            <w:vAlign w:val="center"/>
          </w:tcPr>
          <w:p>
            <w:pPr>
              <w:keepNext w:val="0"/>
              <w:keepLines w:val="0"/>
              <w:pageBreakBefore w:val="0"/>
              <w:numPr>
                <w:ilvl w:val="0"/>
                <w:numId w:val="1"/>
              </w:numPr>
              <w:kinsoku/>
              <w:wordWrap/>
              <w:overflowPunct/>
              <w:topLinePunct w:val="0"/>
              <w:autoSpaceDE/>
              <w:autoSpaceDN/>
              <w:bidi w:val="0"/>
              <w:adjustRightInd w:val="0"/>
              <w:snapToGrid w:val="0"/>
              <w:spacing w:line="37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69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p>
        </w:tc>
        <w:tc>
          <w:tcPr>
            <w:tcW w:w="1864" w:type="dxa"/>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r>
              <w:rPr>
                <w:rFonts w:hint="default" w:ascii="Times New Roman" w:hAnsi="Times New Roman" w:eastAsia="方正仿宋_GBK" w:cs="Times New Roman"/>
                <w:snapToGrid w:val="0"/>
                <w:color w:val="auto"/>
                <w:sz w:val="24"/>
                <w:szCs w:val="24"/>
                <w:lang w:val="zh-CN" w:bidi="ar"/>
              </w:rPr>
              <w:t>京杭运河</w:t>
            </w:r>
          </w:p>
        </w:tc>
        <w:tc>
          <w:tcPr>
            <w:tcW w:w="1978" w:type="dxa"/>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r>
              <w:rPr>
                <w:rFonts w:hint="default" w:ascii="Times New Roman" w:hAnsi="Times New Roman" w:eastAsia="方正仿宋_GBK" w:cs="Times New Roman"/>
                <w:snapToGrid w:val="0"/>
                <w:color w:val="auto"/>
                <w:sz w:val="24"/>
                <w:szCs w:val="24"/>
                <w:lang w:val="zh-CN" w:bidi="ar"/>
              </w:rPr>
              <w:t>上游关联河流</w:t>
            </w:r>
          </w:p>
        </w:tc>
        <w:tc>
          <w:tcPr>
            <w:tcW w:w="1458" w:type="dxa"/>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r>
              <w:rPr>
                <w:rFonts w:hint="default" w:ascii="Times New Roman" w:hAnsi="Times New Roman" w:eastAsia="方正仿宋_GBK" w:cs="Times New Roman"/>
                <w:snapToGrid w:val="0"/>
                <w:color w:val="auto"/>
                <w:sz w:val="24"/>
                <w:szCs w:val="24"/>
                <w:lang w:val="zh-CN" w:bidi="ar"/>
              </w:rPr>
              <w:t>第二类</w:t>
            </w:r>
          </w:p>
        </w:tc>
        <w:tc>
          <w:tcPr>
            <w:tcW w:w="1507" w:type="dxa"/>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r>
              <w:rPr>
                <w:rFonts w:hint="default" w:ascii="Times New Roman" w:hAnsi="Times New Roman" w:eastAsia="方正仿宋_GBK" w:cs="Times New Roman"/>
                <w:snapToGrid w:val="0"/>
                <w:color w:val="auto"/>
                <w:sz w:val="24"/>
                <w:szCs w:val="24"/>
                <w:lang w:val="zh-CN" w:bidi="ar"/>
              </w:rPr>
              <w:t>青洋大桥</w:t>
            </w:r>
          </w:p>
        </w:tc>
        <w:tc>
          <w:tcPr>
            <w:tcW w:w="220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p>
        </w:tc>
        <w:tc>
          <w:tcPr>
            <w:tcW w:w="2580" w:type="dxa"/>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r>
              <w:rPr>
                <w:rFonts w:hint="default" w:ascii="Times New Roman" w:hAnsi="Times New Roman" w:eastAsia="方正仿宋_GBK" w:cs="Times New Roman"/>
                <w:snapToGrid w:val="0"/>
                <w:color w:val="auto"/>
                <w:sz w:val="24"/>
                <w:szCs w:val="24"/>
                <w:lang w:val="zh-CN" w:bidi="ar"/>
              </w:rPr>
              <w:t>总磷≤0.110mg/L，</w:t>
            </w:r>
          </w:p>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r>
              <w:rPr>
                <w:rFonts w:hint="default" w:ascii="Times New Roman" w:hAnsi="Times New Roman" w:eastAsia="方正仿宋_GBK" w:cs="Times New Roman"/>
                <w:snapToGrid w:val="0"/>
                <w:color w:val="auto"/>
                <w:sz w:val="24"/>
                <w:szCs w:val="24"/>
                <w:lang w:val="zh-CN" w:bidi="ar"/>
              </w:rPr>
              <w:t>总氮≤3.2mg/L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85" w:type="dxa"/>
            <w:vAlign w:val="center"/>
          </w:tcPr>
          <w:p>
            <w:pPr>
              <w:keepNext w:val="0"/>
              <w:keepLines w:val="0"/>
              <w:pageBreakBefore w:val="0"/>
              <w:numPr>
                <w:ilvl w:val="0"/>
                <w:numId w:val="1"/>
              </w:numPr>
              <w:kinsoku/>
              <w:wordWrap/>
              <w:overflowPunct/>
              <w:topLinePunct w:val="0"/>
              <w:autoSpaceDE/>
              <w:autoSpaceDN/>
              <w:bidi w:val="0"/>
              <w:adjustRightInd w:val="0"/>
              <w:snapToGrid w:val="0"/>
              <w:spacing w:line="37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69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p>
        </w:tc>
        <w:tc>
          <w:tcPr>
            <w:tcW w:w="1864" w:type="dxa"/>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r>
              <w:rPr>
                <w:rFonts w:hint="default" w:ascii="Times New Roman" w:hAnsi="Times New Roman" w:eastAsia="方正仿宋_GBK" w:cs="Times New Roman"/>
                <w:snapToGrid w:val="0"/>
                <w:color w:val="auto"/>
                <w:sz w:val="24"/>
                <w:szCs w:val="24"/>
                <w:lang w:val="zh-CN" w:bidi="ar"/>
              </w:rPr>
              <w:t>采菱港</w:t>
            </w:r>
          </w:p>
        </w:tc>
        <w:tc>
          <w:tcPr>
            <w:tcW w:w="1978" w:type="dxa"/>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r>
              <w:rPr>
                <w:rFonts w:hint="default" w:ascii="Times New Roman" w:hAnsi="Times New Roman" w:eastAsia="方正仿宋_GBK" w:cs="Times New Roman"/>
                <w:snapToGrid w:val="0"/>
                <w:color w:val="auto"/>
                <w:sz w:val="24"/>
                <w:szCs w:val="24"/>
                <w:lang w:val="zh-CN" w:bidi="ar"/>
              </w:rPr>
              <w:t>重点支流</w:t>
            </w:r>
          </w:p>
        </w:tc>
        <w:tc>
          <w:tcPr>
            <w:tcW w:w="1458" w:type="dxa"/>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r>
              <w:rPr>
                <w:rFonts w:hint="default" w:ascii="Times New Roman" w:hAnsi="Times New Roman" w:eastAsia="方正仿宋_GBK" w:cs="Times New Roman"/>
                <w:snapToGrid w:val="0"/>
                <w:color w:val="auto"/>
                <w:sz w:val="24"/>
                <w:szCs w:val="24"/>
                <w:lang w:val="zh-CN" w:bidi="ar"/>
              </w:rPr>
              <w:t>第三类</w:t>
            </w:r>
          </w:p>
        </w:tc>
        <w:tc>
          <w:tcPr>
            <w:tcW w:w="1507" w:type="dxa"/>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r>
              <w:rPr>
                <w:rFonts w:hint="default" w:ascii="Times New Roman" w:hAnsi="Times New Roman" w:eastAsia="方正仿宋_GBK" w:cs="Times New Roman"/>
                <w:snapToGrid w:val="0"/>
                <w:color w:val="auto"/>
                <w:sz w:val="24"/>
                <w:szCs w:val="24"/>
                <w:lang w:val="zh-CN" w:bidi="ar"/>
              </w:rPr>
              <w:t>丰盛桥</w:t>
            </w:r>
          </w:p>
        </w:tc>
        <w:tc>
          <w:tcPr>
            <w:tcW w:w="2205" w:type="dxa"/>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bidi="ar"/>
              </w:rPr>
            </w:pPr>
            <w:r>
              <w:rPr>
                <w:rFonts w:hint="default" w:ascii="Times New Roman" w:hAnsi="Times New Roman" w:eastAsia="方正仿宋_GBK" w:cs="Times New Roman"/>
                <w:snapToGrid w:val="0"/>
                <w:color w:val="auto"/>
                <w:sz w:val="24"/>
                <w:szCs w:val="24"/>
                <w:lang w:bidi="ar"/>
              </w:rPr>
              <w:t>雕庄街道</w:t>
            </w:r>
          </w:p>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bidi="ar"/>
              </w:rPr>
            </w:pPr>
            <w:r>
              <w:rPr>
                <w:rFonts w:hint="default" w:ascii="Times New Roman" w:hAnsi="Times New Roman" w:eastAsia="方正仿宋_GBK" w:cs="Times New Roman"/>
                <w:snapToGrid w:val="0"/>
                <w:color w:val="auto"/>
                <w:sz w:val="24"/>
                <w:szCs w:val="24"/>
                <w:lang w:bidi="ar"/>
              </w:rPr>
              <w:t>茶山街道</w:t>
            </w:r>
          </w:p>
        </w:tc>
        <w:tc>
          <w:tcPr>
            <w:tcW w:w="2580" w:type="dxa"/>
            <w:vAlign w:val="center"/>
          </w:tcPr>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r>
              <w:rPr>
                <w:rFonts w:hint="default" w:ascii="Times New Roman" w:hAnsi="Times New Roman" w:eastAsia="方正仿宋_GBK" w:cs="Times New Roman"/>
                <w:snapToGrid w:val="0"/>
                <w:color w:val="auto"/>
                <w:sz w:val="24"/>
                <w:szCs w:val="24"/>
                <w:lang w:val="zh-CN" w:bidi="ar"/>
              </w:rPr>
              <w:t>总磷≤0.108mg/L，</w:t>
            </w:r>
          </w:p>
          <w:p>
            <w:pPr>
              <w:keepNext w:val="0"/>
              <w:keepLines w:val="0"/>
              <w:pageBreakBefore w:val="0"/>
              <w:widowControl/>
              <w:kinsoku/>
              <w:wordWrap/>
              <w:overflowPunct/>
              <w:topLinePunct w:val="0"/>
              <w:autoSpaceDE/>
              <w:autoSpaceDN/>
              <w:bidi w:val="0"/>
              <w:adjustRightInd w:val="0"/>
              <w:snapToGrid w:val="0"/>
              <w:spacing w:line="370" w:lineRule="exact"/>
              <w:ind w:firstLine="0" w:firstLineChars="0"/>
              <w:jc w:val="center"/>
              <w:textAlignment w:val="center"/>
              <w:rPr>
                <w:rFonts w:hint="default" w:ascii="Times New Roman" w:hAnsi="Times New Roman" w:eastAsia="方正仿宋_GBK" w:cs="Times New Roman"/>
                <w:snapToGrid w:val="0"/>
                <w:color w:val="auto"/>
                <w:sz w:val="24"/>
                <w:szCs w:val="24"/>
                <w:lang w:val="zh-CN" w:bidi="ar"/>
              </w:rPr>
            </w:pPr>
            <w:r>
              <w:rPr>
                <w:rFonts w:hint="default" w:ascii="Times New Roman" w:hAnsi="Times New Roman" w:eastAsia="方正仿宋_GBK" w:cs="Times New Roman"/>
                <w:snapToGrid w:val="0"/>
                <w:color w:val="auto"/>
                <w:sz w:val="24"/>
                <w:szCs w:val="24"/>
                <w:lang w:val="zh-CN" w:bidi="ar"/>
              </w:rPr>
              <w:t>总氮≤3.2mg/L</w:t>
            </w:r>
          </w:p>
        </w:tc>
      </w:tr>
    </w:tbl>
    <w:p>
      <w:pPr>
        <w:adjustRightInd w:val="0"/>
        <w:snapToGrid w:val="0"/>
        <w:spacing w:line="280" w:lineRule="exact"/>
        <w:ind w:firstLine="0" w:firstLineChars="0"/>
        <w:rPr>
          <w:rFonts w:hint="default" w:ascii="Times New Roman" w:hAnsi="Times New Roman" w:cs="Times New Roman"/>
          <w:bCs/>
          <w:snapToGrid w:val="0"/>
          <w:color w:val="auto"/>
          <w:lang w:bidi="zh-CN"/>
        </w:rPr>
      </w:pPr>
    </w:p>
    <w:p>
      <w:pPr>
        <w:adjustRightInd w:val="0"/>
        <w:snapToGrid w:val="0"/>
        <w:spacing w:line="280" w:lineRule="exact"/>
        <w:ind w:firstLine="0" w:firstLineChars="0"/>
        <w:rPr>
          <w:rFonts w:hint="default" w:ascii="Times New Roman" w:hAnsi="Times New Roman" w:cs="Times New Roman"/>
          <w:bCs/>
          <w:snapToGrid w:val="0"/>
          <w:color w:val="auto"/>
          <w:lang w:bidi="zh-CN"/>
        </w:rPr>
      </w:pPr>
    </w:p>
    <w:p>
      <w:pPr>
        <w:adjustRightInd w:val="0"/>
        <w:snapToGrid w:val="0"/>
        <w:spacing w:line="280" w:lineRule="exact"/>
        <w:ind w:firstLine="0" w:firstLineChars="0"/>
        <w:rPr>
          <w:rFonts w:hint="default" w:ascii="Times New Roman" w:hAnsi="Times New Roman" w:cs="Times New Roman"/>
          <w:bCs/>
          <w:snapToGrid w:val="0"/>
          <w:color w:val="auto"/>
          <w:lang w:bidi="zh-CN"/>
        </w:rPr>
      </w:pPr>
    </w:p>
    <w:p>
      <w:pPr>
        <w:adjustRightInd w:val="0"/>
        <w:snapToGrid w:val="0"/>
        <w:spacing w:line="280" w:lineRule="exact"/>
        <w:ind w:firstLine="0" w:firstLineChars="0"/>
        <w:rPr>
          <w:rFonts w:hint="default" w:ascii="Times New Roman" w:hAnsi="Times New Roman" w:cs="Times New Roman"/>
          <w:bCs/>
          <w:snapToGrid w:val="0"/>
          <w:color w:val="auto"/>
          <w:lang w:bidi="zh-CN"/>
        </w:rPr>
      </w:pPr>
    </w:p>
    <w:p>
      <w:pPr>
        <w:adjustRightInd w:val="0"/>
        <w:snapToGrid w:val="0"/>
        <w:spacing w:line="280" w:lineRule="exact"/>
        <w:ind w:firstLine="0" w:firstLineChars="0"/>
        <w:rPr>
          <w:rFonts w:hint="default" w:ascii="Times New Roman" w:hAnsi="Times New Roman" w:cs="Times New Roman"/>
          <w:bCs/>
          <w:snapToGrid w:val="0"/>
          <w:color w:val="auto"/>
          <w:lang w:bidi="zh-CN"/>
        </w:rPr>
      </w:pPr>
    </w:p>
    <w:p>
      <w:pPr>
        <w:adjustRightInd w:val="0"/>
        <w:snapToGrid w:val="0"/>
        <w:spacing w:line="280" w:lineRule="exact"/>
        <w:ind w:firstLine="0" w:firstLineChars="0"/>
        <w:rPr>
          <w:rFonts w:hint="default" w:ascii="Times New Roman" w:hAnsi="Times New Roman" w:cs="Times New Roman"/>
          <w:bCs/>
          <w:snapToGrid w:val="0"/>
          <w:color w:val="auto"/>
          <w:lang w:bidi="zh-CN"/>
        </w:rPr>
      </w:pPr>
    </w:p>
    <w:p>
      <w:pPr>
        <w:adjustRightInd w:val="0"/>
        <w:snapToGrid w:val="0"/>
        <w:spacing w:line="280" w:lineRule="exact"/>
        <w:ind w:firstLine="0" w:firstLineChars="0"/>
        <w:rPr>
          <w:rFonts w:hint="default" w:ascii="Times New Roman" w:hAnsi="Times New Roman" w:cs="Times New Roman"/>
          <w:bCs/>
          <w:snapToGrid w:val="0"/>
          <w:color w:val="auto"/>
          <w:lang w:bidi="zh-CN"/>
        </w:r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left"/>
        <w:textAlignment w:val="auto"/>
        <w:rPr>
          <w:rFonts w:hint="default" w:ascii="Times New Roman" w:hAnsi="Times New Roman" w:eastAsia="方正黑体_GBK" w:cs="Times New Roman"/>
          <w:color w:val="auto"/>
          <w:spacing w:val="-14"/>
          <w:lang w:val="zh-CN" w:eastAsia="zh-CN"/>
        </w:rPr>
      </w:pPr>
      <w:r>
        <w:rPr>
          <w:rFonts w:hint="default" w:ascii="Times New Roman" w:hAnsi="Times New Roman" w:eastAsia="方正黑体_GBK" w:cs="Times New Roman"/>
          <w:color w:val="auto"/>
          <w:spacing w:val="-14"/>
          <w:lang w:val="zh-CN"/>
        </w:rPr>
        <w:t>附件</w:t>
      </w:r>
      <w:r>
        <w:rPr>
          <w:rFonts w:hint="default" w:ascii="Times New Roman" w:hAnsi="Times New Roman" w:eastAsia="方正黑体_GBK" w:cs="Times New Roman"/>
          <w:color w:val="auto"/>
          <w:spacing w:val="-14"/>
          <w:lang w:val="en-US" w:eastAsia="zh-CN"/>
        </w:rPr>
        <w:t>2</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Times New Roman" w:hAnsi="Times New Roman" w:eastAsia="方正小标宋_GBK" w:cs="Times New Roman"/>
          <w:color w:val="auto"/>
          <w:sz w:val="44"/>
          <w:szCs w:val="44"/>
          <w:lang w:val="zh-CN"/>
        </w:rPr>
      </w:pPr>
      <w:r>
        <w:rPr>
          <w:rFonts w:hint="default" w:ascii="Times New Roman" w:hAnsi="Times New Roman" w:eastAsia="方正小标宋_GBK" w:cs="Times New Roman"/>
          <w:color w:val="auto"/>
          <w:sz w:val="44"/>
          <w:szCs w:val="44"/>
          <w:lang w:val="zh-CN"/>
        </w:rPr>
        <w:t>2024年天宁区全面推进美丽常州建设工程项目表</w:t>
      </w:r>
    </w:p>
    <w:tbl>
      <w:tblPr>
        <w:tblStyle w:val="14"/>
        <w:tblW w:w="141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7"/>
        <w:gridCol w:w="1883"/>
        <w:gridCol w:w="2994"/>
        <w:gridCol w:w="4142"/>
        <w:gridCol w:w="856"/>
        <w:gridCol w:w="1334"/>
        <w:gridCol w:w="2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blHeader/>
          <w:jc w:val="center"/>
        </w:trPr>
        <w:tc>
          <w:tcPr>
            <w:tcW w:w="767" w:type="dxa"/>
            <w:tcBorders>
              <w:tl2br w:val="nil"/>
              <w:tr2bl w:val="nil"/>
            </w:tcBorders>
            <w:vAlign w:val="center"/>
          </w:tcPr>
          <w:p>
            <w:pPr>
              <w:overflowPunct w:val="0"/>
              <w:adjustRightInd w:val="0"/>
              <w:snapToGrid w:val="0"/>
              <w:spacing w:line="280" w:lineRule="exact"/>
              <w:ind w:firstLine="0" w:firstLineChars="0"/>
              <w:jc w:val="center"/>
              <w:rPr>
                <w:rFonts w:hint="eastAsia" w:ascii="方正黑体_GBK" w:hAnsi="方正黑体_GBK" w:eastAsia="方正黑体_GBK" w:cs="方正黑体_GBK"/>
                <w:color w:val="auto"/>
                <w:sz w:val="24"/>
                <w:szCs w:val="24"/>
                <w:lang w:val="zh-CN"/>
              </w:rPr>
            </w:pPr>
            <w:r>
              <w:rPr>
                <w:rFonts w:hint="eastAsia" w:ascii="方正黑体_GBK" w:hAnsi="方正黑体_GBK" w:eastAsia="方正黑体_GBK" w:cs="方正黑体_GBK"/>
                <w:color w:val="auto"/>
                <w:sz w:val="24"/>
                <w:szCs w:val="24"/>
                <w:lang w:val="zh-CN"/>
              </w:rPr>
              <w:t>序号</w:t>
            </w:r>
          </w:p>
        </w:tc>
        <w:tc>
          <w:tcPr>
            <w:tcW w:w="1883" w:type="dxa"/>
            <w:tcBorders>
              <w:tl2br w:val="nil"/>
              <w:tr2bl w:val="nil"/>
            </w:tcBorders>
            <w:vAlign w:val="center"/>
          </w:tcPr>
          <w:p>
            <w:pPr>
              <w:overflowPunct w:val="0"/>
              <w:adjustRightInd w:val="0"/>
              <w:snapToGrid w:val="0"/>
              <w:spacing w:line="280" w:lineRule="exact"/>
              <w:ind w:firstLine="0" w:firstLineChars="0"/>
              <w:jc w:val="center"/>
              <w:rPr>
                <w:rFonts w:hint="eastAsia" w:ascii="方正黑体_GBK" w:hAnsi="方正黑体_GBK" w:eastAsia="方正黑体_GBK" w:cs="方正黑体_GBK"/>
                <w:color w:val="auto"/>
                <w:sz w:val="24"/>
                <w:szCs w:val="24"/>
                <w:lang w:val="zh-CN"/>
              </w:rPr>
            </w:pPr>
            <w:r>
              <w:rPr>
                <w:rFonts w:hint="eastAsia" w:ascii="方正黑体_GBK" w:hAnsi="方正黑体_GBK" w:eastAsia="方正黑体_GBK" w:cs="方正黑体_GBK"/>
                <w:color w:val="auto"/>
                <w:sz w:val="24"/>
                <w:szCs w:val="24"/>
                <w:lang w:val="zh-CN"/>
              </w:rPr>
              <w:t>项目类型</w:t>
            </w:r>
          </w:p>
        </w:tc>
        <w:tc>
          <w:tcPr>
            <w:tcW w:w="2994" w:type="dxa"/>
            <w:tcBorders>
              <w:tl2br w:val="nil"/>
              <w:tr2bl w:val="nil"/>
            </w:tcBorders>
            <w:vAlign w:val="center"/>
          </w:tcPr>
          <w:p>
            <w:pPr>
              <w:overflowPunct w:val="0"/>
              <w:adjustRightInd w:val="0"/>
              <w:snapToGrid w:val="0"/>
              <w:spacing w:line="280" w:lineRule="exact"/>
              <w:ind w:firstLine="0" w:firstLineChars="0"/>
              <w:jc w:val="center"/>
              <w:rPr>
                <w:rFonts w:hint="eastAsia" w:ascii="方正黑体_GBK" w:hAnsi="方正黑体_GBK" w:eastAsia="方正黑体_GBK" w:cs="方正黑体_GBK"/>
                <w:color w:val="auto"/>
                <w:sz w:val="24"/>
                <w:szCs w:val="24"/>
                <w:lang w:val="zh-CN"/>
              </w:rPr>
            </w:pPr>
            <w:r>
              <w:rPr>
                <w:rFonts w:hint="eastAsia" w:ascii="方正黑体_GBK" w:hAnsi="方正黑体_GBK" w:eastAsia="方正黑体_GBK" w:cs="方正黑体_GBK"/>
                <w:color w:val="auto"/>
                <w:sz w:val="24"/>
                <w:szCs w:val="24"/>
                <w:lang w:val="zh-CN"/>
              </w:rPr>
              <w:t>工程项目名称</w:t>
            </w:r>
          </w:p>
        </w:tc>
        <w:tc>
          <w:tcPr>
            <w:tcW w:w="4142" w:type="dxa"/>
            <w:tcBorders>
              <w:tl2br w:val="nil"/>
              <w:tr2bl w:val="nil"/>
            </w:tcBorders>
            <w:vAlign w:val="center"/>
          </w:tcPr>
          <w:p>
            <w:pPr>
              <w:overflowPunct w:val="0"/>
              <w:adjustRightInd w:val="0"/>
              <w:snapToGrid w:val="0"/>
              <w:spacing w:line="280" w:lineRule="exact"/>
              <w:ind w:firstLine="0" w:firstLineChars="0"/>
              <w:jc w:val="center"/>
              <w:rPr>
                <w:rFonts w:hint="eastAsia" w:ascii="方正黑体_GBK" w:hAnsi="方正黑体_GBK" w:eastAsia="方正黑体_GBK" w:cs="方正黑体_GBK"/>
                <w:color w:val="auto"/>
                <w:sz w:val="24"/>
                <w:szCs w:val="24"/>
                <w:lang w:val="zh-CN"/>
              </w:rPr>
            </w:pPr>
            <w:r>
              <w:rPr>
                <w:rFonts w:hint="eastAsia" w:ascii="方正黑体_GBK" w:hAnsi="方正黑体_GBK" w:eastAsia="方正黑体_GBK" w:cs="方正黑体_GBK"/>
                <w:color w:val="auto"/>
                <w:sz w:val="24"/>
                <w:szCs w:val="24"/>
                <w:lang w:val="zh-CN"/>
              </w:rPr>
              <w:t>主要建设内容</w:t>
            </w:r>
          </w:p>
        </w:tc>
        <w:tc>
          <w:tcPr>
            <w:tcW w:w="856" w:type="dxa"/>
            <w:tcBorders>
              <w:tl2br w:val="nil"/>
              <w:tr2bl w:val="nil"/>
            </w:tcBorders>
            <w:vAlign w:val="center"/>
          </w:tcPr>
          <w:p>
            <w:pPr>
              <w:overflowPunct w:val="0"/>
              <w:adjustRightInd w:val="0"/>
              <w:snapToGrid w:val="0"/>
              <w:spacing w:line="280" w:lineRule="exact"/>
              <w:ind w:firstLine="0" w:firstLineChars="0"/>
              <w:jc w:val="center"/>
              <w:rPr>
                <w:rFonts w:hint="eastAsia" w:ascii="方正黑体_GBK" w:hAnsi="方正黑体_GBK" w:eastAsia="方正黑体_GBK" w:cs="方正黑体_GBK"/>
                <w:color w:val="auto"/>
                <w:sz w:val="24"/>
                <w:szCs w:val="24"/>
                <w:lang w:val="zh-CN"/>
              </w:rPr>
            </w:pPr>
            <w:r>
              <w:rPr>
                <w:rFonts w:hint="eastAsia" w:ascii="方正黑体_GBK" w:hAnsi="方正黑体_GBK" w:eastAsia="方正黑体_GBK" w:cs="方正黑体_GBK"/>
                <w:color w:val="auto"/>
                <w:sz w:val="24"/>
                <w:szCs w:val="24"/>
                <w:lang w:val="zh-CN"/>
              </w:rPr>
              <w:t>项目</w:t>
            </w:r>
          </w:p>
          <w:p>
            <w:pPr>
              <w:overflowPunct w:val="0"/>
              <w:adjustRightInd w:val="0"/>
              <w:snapToGrid w:val="0"/>
              <w:spacing w:line="280" w:lineRule="exact"/>
              <w:ind w:firstLine="0" w:firstLineChars="0"/>
              <w:jc w:val="center"/>
              <w:rPr>
                <w:rFonts w:hint="eastAsia" w:ascii="方正黑体_GBK" w:hAnsi="方正黑体_GBK" w:eastAsia="方正黑体_GBK" w:cs="方正黑体_GBK"/>
                <w:color w:val="auto"/>
                <w:sz w:val="24"/>
                <w:szCs w:val="24"/>
                <w:lang w:val="zh-CN"/>
              </w:rPr>
            </w:pPr>
            <w:r>
              <w:rPr>
                <w:rFonts w:hint="eastAsia" w:ascii="方正黑体_GBK" w:hAnsi="方正黑体_GBK" w:eastAsia="方正黑体_GBK" w:cs="方正黑体_GBK"/>
                <w:color w:val="auto"/>
                <w:sz w:val="24"/>
                <w:szCs w:val="24"/>
                <w:lang w:val="zh-CN"/>
              </w:rPr>
              <w:t>数量</w:t>
            </w:r>
          </w:p>
        </w:tc>
        <w:tc>
          <w:tcPr>
            <w:tcW w:w="1334" w:type="dxa"/>
            <w:tcBorders>
              <w:tl2br w:val="nil"/>
              <w:tr2bl w:val="nil"/>
            </w:tcBorders>
            <w:vAlign w:val="center"/>
          </w:tcPr>
          <w:p>
            <w:pPr>
              <w:overflowPunct w:val="0"/>
              <w:adjustRightInd w:val="0"/>
              <w:snapToGrid w:val="0"/>
              <w:spacing w:line="280" w:lineRule="exact"/>
              <w:ind w:firstLine="0" w:firstLineChars="0"/>
              <w:jc w:val="center"/>
              <w:rPr>
                <w:rFonts w:hint="eastAsia" w:ascii="方正黑体_GBK" w:hAnsi="方正黑体_GBK" w:eastAsia="方正黑体_GBK" w:cs="方正黑体_GBK"/>
                <w:color w:val="auto"/>
                <w:sz w:val="24"/>
                <w:szCs w:val="24"/>
                <w:lang w:val="zh-CN"/>
              </w:rPr>
            </w:pPr>
            <w:r>
              <w:rPr>
                <w:rFonts w:hint="eastAsia" w:ascii="方正黑体_GBK" w:hAnsi="方正黑体_GBK" w:eastAsia="方正黑体_GBK" w:cs="方正黑体_GBK"/>
                <w:color w:val="auto"/>
                <w:sz w:val="24"/>
                <w:szCs w:val="24"/>
                <w:lang w:val="zh-CN"/>
              </w:rPr>
              <w:t>建设期限</w:t>
            </w:r>
          </w:p>
        </w:tc>
        <w:tc>
          <w:tcPr>
            <w:tcW w:w="2198" w:type="dxa"/>
            <w:tcBorders>
              <w:tl2br w:val="nil"/>
              <w:tr2bl w:val="nil"/>
            </w:tcBorders>
            <w:vAlign w:val="center"/>
          </w:tcPr>
          <w:p>
            <w:pPr>
              <w:overflowPunct w:val="0"/>
              <w:adjustRightInd w:val="0"/>
              <w:snapToGrid w:val="0"/>
              <w:spacing w:line="280" w:lineRule="exact"/>
              <w:ind w:firstLine="0" w:firstLineChars="0"/>
              <w:jc w:val="center"/>
              <w:rPr>
                <w:rFonts w:hint="eastAsia" w:ascii="方正黑体_GBK" w:hAnsi="方正黑体_GBK" w:eastAsia="方正黑体_GBK" w:cs="方正黑体_GBK"/>
                <w:color w:val="auto"/>
                <w:sz w:val="24"/>
                <w:szCs w:val="24"/>
                <w:lang w:val="zh-CN"/>
              </w:rPr>
            </w:pPr>
            <w:r>
              <w:rPr>
                <w:rFonts w:hint="eastAsia" w:ascii="方正黑体_GBK" w:hAnsi="方正黑体_GBK" w:eastAsia="方正黑体_GBK" w:cs="方正黑体_GBK"/>
                <w:color w:val="auto"/>
                <w:sz w:val="24"/>
                <w:szCs w:val="24"/>
                <w:lang w:val="zh-CN"/>
              </w:rPr>
              <w:t>牵头部门</w:t>
            </w:r>
          </w:p>
          <w:p>
            <w:pPr>
              <w:overflowPunct w:val="0"/>
              <w:adjustRightInd w:val="0"/>
              <w:snapToGrid w:val="0"/>
              <w:spacing w:line="280" w:lineRule="exact"/>
              <w:ind w:firstLine="0" w:firstLineChars="0"/>
              <w:jc w:val="center"/>
              <w:rPr>
                <w:rFonts w:hint="eastAsia" w:ascii="方正黑体_GBK" w:hAnsi="方正黑体_GBK" w:eastAsia="方正黑体_GBK" w:cs="方正黑体_GBK"/>
                <w:color w:val="auto"/>
                <w:sz w:val="24"/>
                <w:szCs w:val="24"/>
                <w:lang w:val="zh-CN"/>
              </w:rPr>
            </w:pPr>
            <w:r>
              <w:rPr>
                <w:rFonts w:hint="eastAsia" w:ascii="方正黑体_GBK" w:hAnsi="方正黑体_GBK" w:eastAsia="方正黑体_GBK" w:cs="方正黑体_GBK"/>
                <w:color w:val="auto"/>
                <w:sz w:val="24"/>
                <w:szCs w:val="24"/>
                <w:lang w:val="zh-CN"/>
              </w:rPr>
              <w:t>责任部门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4174" w:type="dxa"/>
            <w:gridSpan w:val="7"/>
            <w:tcBorders>
              <w:tl2br w:val="nil"/>
              <w:tr2bl w:val="nil"/>
            </w:tcBorders>
            <w:vAlign w:val="center"/>
          </w:tcPr>
          <w:p>
            <w:pPr>
              <w:widowControl/>
              <w:overflowPunct w:val="0"/>
              <w:adjustRightInd w:val="0"/>
              <w:snapToGrid w:val="0"/>
              <w:spacing w:line="280" w:lineRule="exact"/>
              <w:ind w:firstLine="0" w:firstLineChars="0"/>
              <w:jc w:val="left"/>
              <w:textAlignment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z w:val="24"/>
                <w:szCs w:val="24"/>
                <w:lang w:val="zh-CN"/>
              </w:rPr>
              <w:t>一、持续提升生态环境质量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加快能源绿色低碳转型</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产业结构调整</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完成产业结构优化调整项目62项。</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zh-CN"/>
              </w:rPr>
              <w:t>加快能源绿色低碳转型</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绿色工厂建设</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zh-CN"/>
              </w:rPr>
              <w:t>培育省级以上绿色工厂2家。</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rPr>
              <w:t>区</w:t>
            </w:r>
            <w:r>
              <w:rPr>
                <w:rFonts w:hint="default" w:ascii="Times New Roman" w:hAnsi="Times New Roman" w:eastAsia="方正仿宋_GBK" w:cs="Times New Roman"/>
                <w:color w:val="auto"/>
                <w:sz w:val="24"/>
                <w:szCs w:val="24"/>
                <w:lang w:val="en-US" w:eastAsia="zh-CN"/>
              </w:rPr>
              <w:t>工信局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加快能源绿色低碳转型</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清洁生产审核</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绿</w:t>
            </w:r>
            <w:r>
              <w:rPr>
                <w:rFonts w:hint="default" w:ascii="Times New Roman" w:hAnsi="Times New Roman" w:eastAsia="方正仿宋_GBK" w:cs="Times New Roman"/>
                <w:color w:val="auto"/>
                <w:spacing w:val="-6"/>
                <w:sz w:val="24"/>
                <w:szCs w:val="24"/>
                <w:lang w:val="zh-CN"/>
              </w:rPr>
              <w:t>色园区等典型示范，聚焦重点集群和产业链，年度开展清洁生产企业15家。</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雕庄街道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加快能源绿色低碳转型</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整县屋顶分布式光伏试点</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利用党政机关、公共建筑、工商业厂房、农村居民屋顶建设分布式光伏项目，新增分布式光伏装机容量2兆瓦</w:t>
            </w:r>
            <w:r>
              <w:rPr>
                <w:rFonts w:hint="eastAsia" w:ascii="Times New Roman" w:hAnsi="Times New Roman" w:eastAsia="方正仿宋_GBK" w:cs="Times New Roman"/>
                <w:color w:val="auto"/>
                <w:sz w:val="24"/>
                <w:szCs w:val="24"/>
                <w:lang w:val="zh-CN"/>
              </w:rPr>
              <w:t>。</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区发改局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加快能源绿色低碳转型</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eastAsia" w:ascii="方正仿宋_GBK" w:hAnsi="方正仿宋_GBK" w:eastAsia="方正仿宋_GBK" w:cs="方正仿宋_GBK"/>
                <w:color w:val="auto"/>
                <w:sz w:val="24"/>
                <w:szCs w:val="24"/>
                <w:lang w:val="zh-CN"/>
              </w:rPr>
              <w:t>“绿色车轮”行</w:t>
            </w:r>
            <w:r>
              <w:rPr>
                <w:rFonts w:hint="default" w:ascii="Times New Roman" w:hAnsi="Times New Roman" w:eastAsia="方正仿宋_GBK" w:cs="Times New Roman"/>
                <w:color w:val="auto"/>
                <w:sz w:val="24"/>
                <w:szCs w:val="24"/>
                <w:lang w:val="zh-CN"/>
              </w:rPr>
              <w:t>动</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实</w:t>
            </w:r>
            <w:r>
              <w:rPr>
                <w:rFonts w:hint="eastAsia" w:ascii="方正仿宋_GBK" w:hAnsi="方正仿宋_GBK" w:eastAsia="方正仿宋_GBK" w:cs="方正仿宋_GBK"/>
                <w:color w:val="auto"/>
                <w:sz w:val="24"/>
                <w:szCs w:val="24"/>
                <w:lang w:val="zh-CN"/>
              </w:rPr>
              <w:t>施“绿色车轮”</w:t>
            </w:r>
            <w:r>
              <w:rPr>
                <w:rFonts w:hint="default" w:ascii="Times New Roman" w:hAnsi="Times New Roman" w:eastAsia="方正仿宋_GBK" w:cs="Times New Roman"/>
                <w:color w:val="auto"/>
                <w:sz w:val="24"/>
                <w:szCs w:val="24"/>
                <w:lang w:val="zh-CN"/>
              </w:rPr>
              <w:t>行动，年内基本淘汰国III以下排放标准的柴油货车。</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天宁交警大队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加快能源绿色低碳转型</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非道路移动机械污染防治</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年内淘汰国Ⅰ及以下排放标准的工程机械60%以上。</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加快能源绿色低碳转型</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非道路移动机械污染防治</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制定非道路移动机械年度抽查计划，对</w:t>
            </w:r>
            <w:r>
              <w:rPr>
                <w:rFonts w:hint="default" w:ascii="Times New Roman" w:hAnsi="Times New Roman" w:eastAsia="方正仿宋_GBK" w:cs="Times New Roman"/>
                <w:color w:val="auto"/>
                <w:spacing w:val="-6"/>
                <w:sz w:val="24"/>
                <w:szCs w:val="24"/>
                <w:lang w:val="zh-CN"/>
              </w:rPr>
              <w:t>部分机械进行排放测试，比例不低于20%，基本消除工程机械冒黑烟现象。</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雕庄街道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茶山街道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红梅街道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兰陵街道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加快能源绿色低碳转型</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柴油车排放路查路检</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秋冬季期间各设区市监督抽测柴油货车数量不低于当地柴油货车保有量的80%。</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雕庄街道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茶山街道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红梅街道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兰陵街道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持续深入打好蓝天保卫战</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汽修行业大气污染综合</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整治</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9月底前完成50家汽修行业企业全面排查和系统治理。</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2024.09</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雕庄街道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茶山街道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红梅街道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兰陵街道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持续深入打好蓝天保卫战</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VOCs污染治理工程</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pacing w:val="-6"/>
                <w:sz w:val="24"/>
                <w:szCs w:val="24"/>
                <w:lang w:val="zh-CN"/>
              </w:rPr>
              <w:t>开展完成40家挥发性有机物综合治理。</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雕庄街道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持续深入打好蓝天保卫战</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VOCs污染治理工程</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常州市洁丽木业有限公司木门及地板技术改造项目</w:t>
            </w:r>
            <w:r>
              <w:rPr>
                <w:rFonts w:hint="eastAsia" w:ascii="Times New Roman" w:hAnsi="Times New Roman" w:eastAsia="方正仿宋_GBK" w:cs="Times New Roman"/>
                <w:color w:val="auto"/>
                <w:sz w:val="24"/>
                <w:szCs w:val="24"/>
                <w:lang w:val="zh-CN"/>
              </w:rPr>
              <w:t>。</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7"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持续深入打好蓝天保卫战</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源头替代工程</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完成木质家具制造、工程机械、汽车零部件及配件制造、钢结构等</w:t>
            </w:r>
            <w:r>
              <w:rPr>
                <w:rFonts w:hint="default" w:ascii="Times New Roman" w:hAnsi="Times New Roman" w:eastAsia="方正仿宋_GBK" w:cs="Times New Roman"/>
                <w:color w:val="auto"/>
                <w:sz w:val="24"/>
                <w:szCs w:val="24"/>
              </w:rPr>
              <w:t>16</w:t>
            </w:r>
            <w:r>
              <w:rPr>
                <w:rFonts w:hint="default" w:ascii="Times New Roman" w:hAnsi="Times New Roman" w:eastAsia="方正仿宋_GBK" w:cs="Times New Roman"/>
                <w:color w:val="auto"/>
                <w:sz w:val="24"/>
                <w:szCs w:val="24"/>
                <w:lang w:val="zh-CN"/>
              </w:rPr>
              <w:t>家企业源头替代。</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持续深入打好蓝天保卫战</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虚假“油改水”专项清理</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pacing w:val="-6"/>
                <w:sz w:val="24"/>
                <w:szCs w:val="24"/>
                <w:highlight w:val="none"/>
                <w:lang w:val="zh-CN"/>
              </w:rPr>
              <w:t>完成一轮</w:t>
            </w:r>
            <w:r>
              <w:rPr>
                <w:rFonts w:hint="default" w:ascii="Times New Roman" w:hAnsi="Times New Roman" w:eastAsia="方正仿宋_GBK" w:cs="Times New Roman"/>
                <w:color w:val="auto"/>
                <w:spacing w:val="-6"/>
                <w:sz w:val="24"/>
                <w:szCs w:val="24"/>
                <w:highlight w:val="none"/>
              </w:rPr>
              <w:t>50家</w:t>
            </w:r>
            <w:r>
              <w:rPr>
                <w:rFonts w:hint="default" w:ascii="Times New Roman" w:hAnsi="Times New Roman" w:eastAsia="方正仿宋_GBK" w:cs="Times New Roman"/>
                <w:color w:val="auto"/>
                <w:spacing w:val="-6"/>
                <w:sz w:val="24"/>
                <w:szCs w:val="24"/>
                <w:highlight w:val="none"/>
                <w:lang w:val="zh-CN"/>
              </w:rPr>
              <w:t>包装印刷行业企业专项核查，完成4家玻璃行业企业排查整治。</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雕庄街道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茶山街道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兰陵街道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红梅街道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持续深入打好蓝天保卫战</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铸造行业综合治理</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对49家铸造</w:t>
            </w:r>
            <w:r>
              <w:rPr>
                <w:rFonts w:hint="eastAsia" w:ascii="方正仿宋_GBK" w:hAnsi="方正仿宋_GBK" w:eastAsia="方正仿宋_GBK" w:cs="方正仿宋_GBK"/>
                <w:color w:val="auto"/>
                <w:sz w:val="24"/>
                <w:szCs w:val="24"/>
                <w:lang w:val="zh-CN"/>
              </w:rPr>
              <w:t>企业“回头看”</w:t>
            </w:r>
            <w:r>
              <w:rPr>
                <w:rFonts w:hint="default" w:ascii="Times New Roman" w:hAnsi="Times New Roman" w:eastAsia="方正仿宋_GBK" w:cs="Times New Roman"/>
                <w:color w:val="auto"/>
                <w:sz w:val="24"/>
                <w:szCs w:val="24"/>
                <w:lang w:val="zh-CN"/>
              </w:rPr>
              <w:t>，培育环保绩效AB级水平标杆企业3家以上。</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雕庄街道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持续深入打好蓝天保卫战</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实施降尘考核</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持续对镇（街道）、园区实施降尘考核，全区降尘不得高于2.2吨/平方千米·月。</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雕庄街道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茶山街道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红梅街道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兰陵街道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持续深入打好蓝天保卫战</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扬尘综合治理</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highlight w:val="none"/>
                <w:lang w:val="zh-CN"/>
              </w:rPr>
              <w:t>强化施工工地、道路、裸土以及港口码头扬尘治理，对排查建档的工地、道路、裸土以及港口码头采取必要防尘措施，落实管控挂钩责任人制度，</w:t>
            </w:r>
            <w:r>
              <w:rPr>
                <w:rFonts w:hint="default" w:ascii="Times New Roman" w:hAnsi="Times New Roman" w:eastAsia="方正仿宋_GBK" w:cs="Times New Roman"/>
                <w:color w:val="auto"/>
                <w:sz w:val="24"/>
                <w:szCs w:val="24"/>
                <w:highlight w:val="none"/>
                <w:lang w:val="en-US" w:eastAsia="zh-CN"/>
              </w:rPr>
              <w:t>建立</w:t>
            </w:r>
            <w:r>
              <w:rPr>
                <w:rFonts w:hint="default" w:ascii="Times New Roman" w:hAnsi="Times New Roman" w:eastAsia="方正仿宋_GBK" w:cs="Times New Roman"/>
                <w:color w:val="auto"/>
                <w:sz w:val="24"/>
                <w:szCs w:val="24"/>
                <w:highlight w:val="none"/>
                <w:lang w:val="zh-CN"/>
              </w:rPr>
              <w:t>日常网格化巡查</w:t>
            </w:r>
            <w:r>
              <w:rPr>
                <w:rFonts w:hint="default" w:ascii="Times New Roman" w:hAnsi="Times New Roman" w:eastAsia="方正仿宋_GBK" w:cs="Times New Roman"/>
                <w:color w:val="auto"/>
                <w:sz w:val="24"/>
                <w:szCs w:val="24"/>
                <w:highlight w:val="none"/>
                <w:lang w:val="en-US" w:eastAsia="zh-CN"/>
              </w:rPr>
              <w:t>和快速</w:t>
            </w:r>
            <w:r>
              <w:rPr>
                <w:rFonts w:hint="default" w:ascii="Times New Roman" w:hAnsi="Times New Roman" w:eastAsia="方正仿宋_GBK" w:cs="Times New Roman"/>
                <w:color w:val="auto"/>
                <w:sz w:val="24"/>
                <w:szCs w:val="24"/>
                <w:highlight w:val="none"/>
                <w:lang w:val="zh-CN"/>
              </w:rPr>
              <w:t>处置</w:t>
            </w:r>
            <w:r>
              <w:rPr>
                <w:rFonts w:hint="default" w:ascii="Times New Roman" w:hAnsi="Times New Roman" w:eastAsia="方正仿宋_GBK" w:cs="Times New Roman"/>
                <w:color w:val="auto"/>
                <w:sz w:val="24"/>
                <w:szCs w:val="24"/>
                <w:highlight w:val="none"/>
                <w:lang w:val="en-US" w:eastAsia="zh-CN"/>
              </w:rPr>
              <w:t>机制</w:t>
            </w:r>
            <w:r>
              <w:rPr>
                <w:rFonts w:hint="default" w:ascii="Times New Roman" w:hAnsi="Times New Roman" w:eastAsia="方正仿宋_GBK" w:cs="Times New Roman"/>
                <w:color w:val="auto"/>
                <w:sz w:val="24"/>
                <w:szCs w:val="24"/>
                <w:highlight w:val="none"/>
                <w:lang w:val="zh-CN"/>
              </w:rPr>
              <w:t>，</w:t>
            </w:r>
            <w:r>
              <w:rPr>
                <w:rFonts w:hint="default" w:ascii="Times New Roman" w:hAnsi="Times New Roman" w:eastAsia="方正仿宋_GBK" w:cs="Times New Roman"/>
                <w:color w:val="auto"/>
                <w:sz w:val="24"/>
                <w:szCs w:val="24"/>
                <w:highlight w:val="none"/>
                <w:lang w:val="en-US" w:eastAsia="zh-CN"/>
              </w:rPr>
              <w:t>鼓励推广扬尘智慧监控。</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rPr>
              <w:t>2024.1</w:t>
            </w:r>
            <w:r>
              <w:rPr>
                <w:rFonts w:hint="default" w:ascii="Times New Roman" w:hAnsi="Times New Roman" w:eastAsia="方正仿宋_GBK" w:cs="Times New Roman"/>
                <w:color w:val="auto"/>
                <w:sz w:val="24"/>
                <w:szCs w:val="24"/>
                <w:lang w:val="en-US" w:eastAsia="zh-CN"/>
              </w:rPr>
              <w:t>2</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区征收办</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雕庄街道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茶山街道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红梅街道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兰陵街道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5"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持续深入打好蓝天保卫战</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餐饮油烟专项治理</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开展餐饮油烟专项治理，推动产生油烟或异味的餐饮服务单位安装油烟净化装置并定期维护，每季度清洗一次烟道。</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区市监局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茶山街道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红梅街道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兰陵街道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5"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eastAsia="zh-CN" w:bidi="ar-SA"/>
              </w:rPr>
            </w:pPr>
            <w:r>
              <w:rPr>
                <w:rFonts w:hint="default" w:ascii="Times New Roman" w:hAnsi="Times New Roman" w:eastAsia="方正仿宋_GBK" w:cs="Times New Roman"/>
                <w:color w:val="auto"/>
                <w:sz w:val="24"/>
                <w:szCs w:val="24"/>
                <w:lang w:val="zh-CN"/>
              </w:rPr>
              <w:t>持续深入打好蓝天保卫战</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eastAsia="zh-CN" w:bidi="ar-SA"/>
              </w:rPr>
            </w:pPr>
            <w:r>
              <w:rPr>
                <w:rFonts w:hint="default" w:ascii="Times New Roman" w:hAnsi="Times New Roman" w:eastAsia="方正仿宋_GBK" w:cs="Times New Roman"/>
                <w:color w:val="auto"/>
                <w:sz w:val="24"/>
                <w:szCs w:val="24"/>
                <w:lang w:val="zh-CN"/>
              </w:rPr>
              <w:t>餐饮油烟专项治理</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en-US" w:eastAsia="zh-CN"/>
              </w:rPr>
              <w:t>以红梅南路、光华路等新城逸境幼儿园周边区域为核心，打造2024年度餐饮油烟示范片区。严格加强对产生油烟的流动摊贩的巡查监管。</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区市监局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茶山街道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1"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持续深入打好蓝天保卫战</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zh-CN"/>
              </w:rPr>
              <w:t>重污染</w:t>
            </w:r>
            <w:r>
              <w:rPr>
                <w:rFonts w:hint="default" w:ascii="Times New Roman" w:hAnsi="Times New Roman" w:eastAsia="方正仿宋_GBK" w:cs="Times New Roman"/>
                <w:color w:val="auto"/>
                <w:sz w:val="24"/>
                <w:szCs w:val="24"/>
                <w:lang w:val="en-US" w:eastAsia="zh-CN"/>
              </w:rPr>
              <w:t>应急减排清单修订</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对</w:t>
            </w:r>
            <w:r>
              <w:rPr>
                <w:rFonts w:hint="default" w:ascii="Times New Roman" w:hAnsi="Times New Roman" w:eastAsia="方正仿宋_GBK" w:cs="Times New Roman"/>
                <w:color w:val="auto"/>
                <w:spacing w:val="-6"/>
                <w:sz w:val="24"/>
                <w:szCs w:val="24"/>
                <w:lang w:val="zh-CN"/>
              </w:rPr>
              <w:t>照《重污染天气重点行业应急减排措施制定技术指南》，完成绩效分级、应急减排清单和豁免企业清单修订工作。</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雕庄街道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茶山街道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红梅街道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兰陵街道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持续深入打好蓝天保卫战</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秸秆禁烧管控</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强化秸秆禁烧，建立全覆盖网格化监管体系，开展重点时段专项巡查。</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6"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持续深入打好蓝天保卫战</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烟花爆竹燃放管控</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加强重点时段的烟花爆竹燃放管控工作，强化区域内烟花爆竹燃放的宣传引导，做到不聚集燃放，确保重点区域内不发生异常高值。</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公安天宁分局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雕庄街道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红梅街道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茶山街道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兰陵街道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持续深入打好净土保卫战</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加强建设用地土壤污染防治和安全利用</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开展常州市恒邦电子科技有限公司、江苏科力农业资源科技有限公司、常州姚氏同德化工有限公司、常州市江湖化工有限公司等4家土壤污染重点监管单位周边土壤和地下水环境监测，推动</w:t>
            </w:r>
            <w:r>
              <w:rPr>
                <w:rFonts w:hint="default" w:ascii="Times New Roman" w:hAnsi="Times New Roman" w:eastAsia="方正仿宋_GBK" w:cs="Times New Roman"/>
                <w:color w:val="auto"/>
                <w:sz w:val="24"/>
                <w:szCs w:val="24"/>
                <w:highlight w:val="none"/>
                <w:lang w:val="zh-CN"/>
              </w:rPr>
              <w:t>常州旭尔发焊业有限公司</w:t>
            </w:r>
            <w:r>
              <w:rPr>
                <w:rFonts w:hint="default" w:ascii="Times New Roman" w:hAnsi="Times New Roman" w:eastAsia="方正仿宋_GBK" w:cs="Times New Roman"/>
                <w:color w:val="auto"/>
                <w:sz w:val="24"/>
                <w:szCs w:val="24"/>
                <w:lang w:val="zh-CN"/>
              </w:rPr>
              <w:t>等1家土壤污染重点监管单位隐患排查</w:t>
            </w:r>
            <w:r>
              <w:rPr>
                <w:rFonts w:hint="eastAsia" w:ascii="方正仿宋_GBK" w:hAnsi="方正仿宋_GBK" w:eastAsia="方正仿宋_GBK" w:cs="方正仿宋_GBK"/>
                <w:color w:val="auto"/>
                <w:sz w:val="24"/>
                <w:szCs w:val="24"/>
                <w:lang w:val="zh-CN"/>
              </w:rPr>
              <w:t>“回头看”及整</w:t>
            </w:r>
            <w:r>
              <w:rPr>
                <w:rFonts w:hint="default" w:ascii="Times New Roman" w:hAnsi="Times New Roman" w:eastAsia="方正仿宋_GBK" w:cs="Times New Roman"/>
                <w:color w:val="auto"/>
                <w:sz w:val="24"/>
                <w:szCs w:val="24"/>
                <w:lang w:val="zh-CN"/>
              </w:rPr>
              <w:t>改工作。</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持续深入打好净土保卫战</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加强建设用地土壤污染防治和安全利用</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完成20家土壤染重点监管单位自行监测及编制隐患排查、有毒有害物质排放报告</w:t>
            </w:r>
            <w:r>
              <w:rPr>
                <w:rFonts w:hint="eastAsia" w:ascii="Times New Roman" w:hAnsi="Times New Roman" w:eastAsia="方正仿宋_GBK" w:cs="Times New Roman"/>
                <w:color w:val="auto"/>
                <w:sz w:val="24"/>
                <w:szCs w:val="24"/>
                <w:lang w:val="zh-CN"/>
              </w:rPr>
              <w:t>。</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color w:val="auto"/>
                <w:sz w:val="24"/>
                <w:szCs w:val="24"/>
                <w:lang w:val="en-US" w:eastAsia="zh-CN"/>
              </w:rPr>
              <w:t>雕庄街道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持续深入打好净土保卫战</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加强建设用地土壤污染防治和安全利用</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推荐常州四药制药有限公司，1个土壤和地下水污染隐患排查典型案例。</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雕庄街道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eastAsia="zh-CN" w:bidi="ar-SA"/>
              </w:rPr>
            </w:pPr>
            <w:r>
              <w:rPr>
                <w:rFonts w:hint="default" w:ascii="Times New Roman" w:hAnsi="Times New Roman" w:eastAsia="方正仿宋_GBK" w:cs="Times New Roman"/>
                <w:color w:val="auto"/>
                <w:sz w:val="24"/>
                <w:szCs w:val="24"/>
                <w:lang w:val="zh-CN"/>
              </w:rPr>
              <w:t>持续深入打好净土保卫战</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eastAsia="zh-CN" w:bidi="ar-SA"/>
              </w:rPr>
            </w:pPr>
            <w:r>
              <w:rPr>
                <w:rFonts w:hint="default" w:ascii="Times New Roman" w:hAnsi="Times New Roman" w:eastAsia="方正仿宋_GBK" w:cs="Times New Roman"/>
                <w:color w:val="auto"/>
                <w:sz w:val="24"/>
                <w:szCs w:val="24"/>
                <w:lang w:val="zh-CN"/>
              </w:rPr>
              <w:t>加强建设用地土壤污染防治和安全利用</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highlight w:val="none"/>
                <w:lang w:val="en-US" w:eastAsia="zh-CN" w:bidi="ar-SA"/>
              </w:rPr>
            </w:pPr>
            <w:r>
              <w:rPr>
                <w:rFonts w:hint="default" w:ascii="Times New Roman" w:hAnsi="Times New Roman" w:eastAsia="方正仿宋_GBK" w:cs="Times New Roman"/>
                <w:color w:val="auto"/>
                <w:sz w:val="24"/>
                <w:szCs w:val="24"/>
                <w:highlight w:val="none"/>
                <w:lang w:val="zh-CN"/>
              </w:rPr>
              <w:t>完成高风险遗留地块制度性管控措施落实情况的市级验收；需要采取工程性管控措施的高风险遗留地块落实风险管控措施，年内完成工程量不少于80%。优先监管地块落实风险管控的地块比例达到80%以上。</w:t>
            </w:r>
            <w:r>
              <w:rPr>
                <w:rFonts w:hint="default" w:ascii="Times New Roman" w:hAnsi="Times New Roman" w:eastAsia="方正仿宋_GBK" w:cs="Times New Roman"/>
                <w:color w:val="auto"/>
                <w:sz w:val="24"/>
                <w:szCs w:val="24"/>
                <w:highlight w:val="none"/>
                <w:lang w:val="en-US" w:eastAsia="zh-CN"/>
              </w:rPr>
              <w:t>累计完成33个高风险遗留地块及优先监管地块风险管控措施。</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highlight w:val="none"/>
                <w:lang w:val="en-US" w:eastAsia="zh-CN" w:bidi="ar-SA"/>
              </w:rPr>
            </w:pPr>
            <w:r>
              <w:rPr>
                <w:rFonts w:hint="default" w:ascii="Times New Roman" w:hAnsi="Times New Roman" w:eastAsia="方正仿宋_GBK" w:cs="Times New Roman"/>
                <w:color w:val="auto"/>
                <w:sz w:val="24"/>
                <w:szCs w:val="24"/>
                <w:highlight w:val="none"/>
                <w:lang w:val="en-US" w:eastAsia="zh-CN"/>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highlight w:val="none"/>
                <w:lang w:val="en-US" w:eastAsia="zh-CN" w:bidi="ar-SA"/>
              </w:rPr>
            </w:pPr>
            <w:r>
              <w:rPr>
                <w:rFonts w:hint="default" w:ascii="Times New Roman" w:hAnsi="Times New Roman" w:eastAsia="方正仿宋_GBK" w:cs="Times New Roman"/>
                <w:color w:val="auto"/>
                <w:sz w:val="24"/>
                <w:szCs w:val="24"/>
                <w:highlight w:val="none"/>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郑陆镇</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雕庄街道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茶山街道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红梅街道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highlight w:val="none"/>
                <w:lang w:val="en-US" w:eastAsia="zh-CN" w:bidi="ar-SA"/>
              </w:rPr>
            </w:pPr>
            <w:r>
              <w:rPr>
                <w:rFonts w:hint="default" w:ascii="Times New Roman" w:hAnsi="Times New Roman" w:eastAsia="方正仿宋_GBK" w:cs="Times New Roman"/>
                <w:color w:val="auto"/>
                <w:sz w:val="24"/>
                <w:szCs w:val="24"/>
                <w:highlight w:val="none"/>
              </w:rPr>
              <w:t>兰陵街道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持续深入打好净土保卫战</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红星灯具厂周边道路土壤修复工程项目</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完成道路土壤修复工程。</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江苏舜宁投资建设有限公司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持续深入打好净土保卫战</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山峰化工原厂址地块（II区）效果评估阶段补充治理工程</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完成补充治理修复工程。</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雕庄街道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常州市凤凰新城发展有限公司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提升生态环境本质安全水平</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环境应急预案编制</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环</w:t>
            </w:r>
            <w:r>
              <w:rPr>
                <w:rFonts w:hint="default" w:ascii="Times New Roman" w:hAnsi="Times New Roman" w:eastAsia="方正仿宋_GBK" w:cs="Times New Roman"/>
                <w:color w:val="auto"/>
                <w:spacing w:val="-6"/>
                <w:sz w:val="24"/>
                <w:szCs w:val="24"/>
                <w:lang w:val="zh-CN"/>
              </w:rPr>
              <w:t>境风险评估已满三年的环境风险等级较大及以上企业、市级以上园区重新开展评估，并及时修订环境应急预案。</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提升生态环境本质安全水平</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pacing w:val="-11"/>
                <w:sz w:val="24"/>
                <w:szCs w:val="24"/>
                <w:lang w:val="zh-CN"/>
              </w:rPr>
            </w:pPr>
            <w:r>
              <w:rPr>
                <w:rFonts w:hint="default" w:ascii="Times New Roman" w:hAnsi="Times New Roman" w:eastAsia="方正仿宋_GBK" w:cs="Times New Roman"/>
                <w:color w:val="auto"/>
                <w:spacing w:val="-11"/>
                <w:sz w:val="24"/>
                <w:szCs w:val="24"/>
                <w:lang w:val="zh-CN"/>
              </w:rPr>
              <w:t>重点园区三级防范体系建设</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重点园区武澄工业园加强环境应急装备和物资储备，完成环境应急三级防控体系建设及工程建设和验证性演练。</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提升生态环境本质安全水平</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pacing w:val="-11"/>
                <w:sz w:val="24"/>
                <w:szCs w:val="24"/>
                <w:lang w:val="zh-CN"/>
              </w:rPr>
            </w:pPr>
            <w:r>
              <w:rPr>
                <w:rFonts w:hint="default" w:ascii="Times New Roman" w:hAnsi="Times New Roman" w:eastAsia="方正仿宋_GBK" w:cs="Times New Roman"/>
                <w:color w:val="auto"/>
                <w:spacing w:val="-11"/>
                <w:sz w:val="24"/>
                <w:szCs w:val="24"/>
                <w:lang w:val="zh-CN"/>
              </w:rPr>
              <w:t>突发水污染事件验证性演练</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丰收河突发水污染事件应急防范体系完成验证性演练。</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提升生态环境本质安全水平</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zh-CN"/>
              </w:rPr>
              <w:t>新污染物</w:t>
            </w:r>
            <w:r>
              <w:rPr>
                <w:rFonts w:hint="default" w:ascii="Times New Roman" w:hAnsi="Times New Roman" w:eastAsia="方正仿宋_GBK" w:cs="Times New Roman"/>
                <w:color w:val="auto"/>
                <w:sz w:val="24"/>
                <w:szCs w:val="24"/>
                <w:lang w:val="en-US" w:eastAsia="zh-CN"/>
              </w:rPr>
              <w:t>调查评估</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落实重点管控新污染物清单管控要求，组织完成本地区化学物质基本信息调查和首批环境风险优先评估化学物质详细信息调查等工作。</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4174" w:type="dxa"/>
            <w:gridSpan w:val="7"/>
            <w:tcBorders>
              <w:tl2br w:val="nil"/>
              <w:tr2bl w:val="nil"/>
            </w:tcBorders>
            <w:vAlign w:val="center"/>
          </w:tcPr>
          <w:p>
            <w:pPr>
              <w:widowControl/>
              <w:overflowPunct w:val="0"/>
              <w:adjustRightInd w:val="0"/>
              <w:snapToGrid w:val="0"/>
              <w:spacing w:line="280" w:lineRule="exact"/>
              <w:ind w:firstLine="0" w:firstLineChars="0"/>
              <w:jc w:val="left"/>
              <w:textAlignment w:val="center"/>
              <w:rPr>
                <w:rFonts w:hint="default" w:ascii="Times New Roman" w:hAnsi="Times New Roman" w:eastAsia="方正仿宋_GBK" w:cs="Times New Roman"/>
                <w:color w:val="auto"/>
                <w:sz w:val="24"/>
                <w:szCs w:val="24"/>
                <w:lang w:val="zh-CN"/>
              </w:rPr>
            </w:pPr>
            <w:r>
              <w:rPr>
                <w:rFonts w:hint="default" w:ascii="方正黑体_GBK" w:hAnsi="方正黑体_GBK" w:eastAsia="方正黑体_GBK" w:cs="方正黑体_GBK"/>
                <w:color w:val="auto"/>
                <w:sz w:val="24"/>
                <w:szCs w:val="24"/>
                <w:lang w:val="zh-CN"/>
              </w:rPr>
              <w:t>二、接续攻坚新一轮太湖综合治理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推进涉磷企业专项整治</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涉磷企业规范化整治验收</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完成155家涉磷企业规范化整治验收。</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雕庄街道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茶山街道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兰陵街道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推进涉磷企业专项整治</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rPr>
              <w:t>初期雨水收集系统建设</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完成省级及以上工业园区水污染专项整治及工业片区（集聚区）、工业企业雨污管网溯源排查，年内推进初期雨水收集系统建设。</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推进涉磷企业专项整治</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雨水排放口规范化建设</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年内全区化工、原料药制造、印染等重点行业工业企业按照《江苏省重点行业工业企业雨水排放环境管理办法（试行）》（苏污防攻坚指办〔2023〕71号），基本完成雨水排口规范化建设。</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加强农业农村环境整治</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化肥、农药减量化</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持续推进化肥、农药减量行动，主要农作物化肥施用量较2020年减少2.5%，农药施用量较2020年减少2.0%；废旧农膜回收率达到89.5%以上。</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区农业农村局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（水利局）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加强农业农村环境整治</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建立池塘养殖档案</w:t>
            </w:r>
          </w:p>
        </w:tc>
        <w:tc>
          <w:tcPr>
            <w:tcW w:w="4142" w:type="dxa"/>
            <w:tcBorders>
              <w:tl2br w:val="nil"/>
              <w:tr2bl w:val="nil"/>
            </w:tcBorders>
            <w:vAlign w:val="center"/>
          </w:tcPr>
          <w:p>
            <w:pPr>
              <w:keepNext w:val="0"/>
              <w:keepLines w:val="0"/>
              <w:pageBreakBefore w:val="0"/>
              <w:widowControl/>
              <w:kinsoku/>
              <w:wordWrap/>
              <w:overflowPunct w:val="0"/>
              <w:topLinePunct w:val="0"/>
              <w:autoSpaceDE/>
              <w:autoSpaceDN/>
              <w:bidi w:val="0"/>
              <w:adjustRightInd w:val="0"/>
              <w:snapToGrid w:val="0"/>
              <w:spacing w:line="26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根据《常州市池塘养殖尾水达标排放两年行动方案》常污防攻坚指办〔 2024〕2号的要求全面排查5亩以上养殖池塘，摸清养殖面积、种类及养殖模式、产量、排水信息等底数，9月底前完成“一池一档”池塘养殖档案建立工作，推进规模以上养殖池塘提升改造。</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2024.09</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区农业农村局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（水利局）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加强农业农村环境整治</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加强农业农村环境整治</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开展水稻、小麦秸秆机械化还田。2024年秸秆机械化还田率达到52%以上。</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区农业农村局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（水利局）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加强农业农村环境整治</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农村公厕新建和改扩建</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项目</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新（改）建农村公厕14座</w:t>
            </w:r>
            <w:r>
              <w:rPr>
                <w:rFonts w:hint="eastAsia" w:ascii="Times New Roman" w:hAnsi="Times New Roman" w:eastAsia="方正仿宋_GBK" w:cs="Times New Roman"/>
                <w:color w:val="auto"/>
                <w:sz w:val="24"/>
                <w:szCs w:val="24"/>
                <w:lang w:val="zh-CN"/>
              </w:rPr>
              <w:t>。</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区农业农村局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（水利局）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提升污水收集处理能力</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水污染物平衡核算工作</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持续开展城市、乡镇水污染物平衡核算管理。</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提升污水收集处理能力</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天宁区城镇污水管网工程</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年内新改建生活污水管网6公里</w:t>
            </w:r>
            <w:r>
              <w:rPr>
                <w:rFonts w:hint="eastAsia" w:ascii="Times New Roman" w:hAnsi="Times New Roman" w:eastAsia="方正仿宋_GBK" w:cs="Times New Roman"/>
                <w:color w:val="auto"/>
                <w:sz w:val="24"/>
                <w:szCs w:val="24"/>
                <w:lang w:val="zh-CN"/>
              </w:rPr>
              <w:t>。</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区住建局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提升污水收集处理能力</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污水处理提质增效达标区建设</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完成4个污水处理提质增效达标区建设，总面积约9.3平方公里。</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keepNext w:val="0"/>
              <w:keepLines w:val="0"/>
              <w:pageBreakBefore w:val="0"/>
              <w:widowControl/>
              <w:kinsoku/>
              <w:wordWrap/>
              <w:overflowPunct w:val="0"/>
              <w:topLinePunct w:val="0"/>
              <w:autoSpaceDE/>
              <w:autoSpaceDN/>
              <w:bidi w:val="0"/>
              <w:adjustRightInd w:val="0"/>
              <w:snapToGrid w:val="0"/>
              <w:spacing w:line="26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区住建局</w:t>
            </w:r>
          </w:p>
          <w:p>
            <w:pPr>
              <w:keepNext w:val="0"/>
              <w:keepLines w:val="0"/>
              <w:pageBreakBefore w:val="0"/>
              <w:widowControl/>
              <w:kinsoku/>
              <w:wordWrap/>
              <w:overflowPunct w:val="0"/>
              <w:topLinePunct w:val="0"/>
              <w:autoSpaceDE/>
              <w:autoSpaceDN/>
              <w:bidi w:val="0"/>
              <w:adjustRightInd w:val="0"/>
              <w:snapToGrid w:val="0"/>
              <w:spacing w:line="26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keepNext w:val="0"/>
              <w:keepLines w:val="0"/>
              <w:pageBreakBefore w:val="0"/>
              <w:widowControl/>
              <w:kinsoku/>
              <w:wordWrap/>
              <w:overflowPunct w:val="0"/>
              <w:topLinePunct w:val="0"/>
              <w:autoSpaceDE/>
              <w:autoSpaceDN/>
              <w:bidi w:val="0"/>
              <w:adjustRightInd w:val="0"/>
              <w:snapToGrid w:val="0"/>
              <w:spacing w:line="26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雕庄街道</w:t>
            </w:r>
          </w:p>
          <w:p>
            <w:pPr>
              <w:keepNext w:val="0"/>
              <w:keepLines w:val="0"/>
              <w:pageBreakBefore w:val="0"/>
              <w:widowControl/>
              <w:kinsoku/>
              <w:wordWrap/>
              <w:overflowPunct w:val="0"/>
              <w:topLinePunct w:val="0"/>
              <w:autoSpaceDE/>
              <w:autoSpaceDN/>
              <w:bidi w:val="0"/>
              <w:adjustRightInd w:val="0"/>
              <w:snapToGrid w:val="0"/>
              <w:spacing w:line="26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红梅街道</w:t>
            </w:r>
          </w:p>
          <w:p>
            <w:pPr>
              <w:keepNext w:val="0"/>
              <w:keepLines w:val="0"/>
              <w:pageBreakBefore w:val="0"/>
              <w:widowControl/>
              <w:kinsoku/>
              <w:wordWrap/>
              <w:overflowPunct w:val="0"/>
              <w:topLinePunct w:val="0"/>
              <w:autoSpaceDE/>
              <w:autoSpaceDN/>
              <w:bidi w:val="0"/>
              <w:adjustRightInd w:val="0"/>
              <w:snapToGrid w:val="0"/>
              <w:spacing w:line="26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提升污水收集处理能力</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水污染物排查</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持续开展工业园区水污染整治专项行动，3月底前完成省级以下工业园区排查和数据填报工作。</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提升污水收集处理能力</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工业废水与生活污水分质分流</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完成7家企业限期整，实现工业废水与生活污</w:t>
            </w:r>
            <w:r>
              <w:rPr>
                <w:rFonts w:hint="eastAsia" w:ascii="方正仿宋_GBK" w:hAnsi="方正仿宋_GBK" w:eastAsia="方正仿宋_GBK" w:cs="方正仿宋_GBK"/>
                <w:color w:val="auto"/>
                <w:sz w:val="24"/>
                <w:szCs w:val="24"/>
                <w:lang w:val="zh-CN"/>
              </w:rPr>
              <w:t>水“应分尽分”</w:t>
            </w:r>
            <w:r>
              <w:rPr>
                <w:rFonts w:hint="default" w:ascii="Times New Roman" w:hAnsi="Times New Roman" w:eastAsia="方正仿宋_GBK" w:cs="Times New Roman"/>
                <w:color w:val="auto"/>
                <w:sz w:val="24"/>
                <w:szCs w:val="24"/>
                <w:lang w:val="zh-CN"/>
              </w:rPr>
              <w:t>。</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2024.03</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雕庄街道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提升污水收集处理能力</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农村生活污水治理项目</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实施4个行政村生活污水治理，农村生活污水治理率达100%。</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提升污水收集处理能力</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郑陆污水厂二期2万吨/日提标改造项目</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光大水务（常州）有限公司郑陆厂二期2万吨/天提标改造项目主要提标改造内容包括：氧化沟改造、高效沉淀池改造、滤布滤池改造、新增粉末活性炭投加装置、原一期生化池改造为调节池等。</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区住建局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提升污水收集处理能力</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乡镇管网检测与修复</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开展乡镇生活污水收集管网排查，6月底前完</w:t>
            </w:r>
            <w:r>
              <w:rPr>
                <w:rFonts w:hint="eastAsia" w:ascii="方正仿宋_GBK" w:hAnsi="方正仿宋_GBK" w:eastAsia="方正仿宋_GBK" w:cs="方正仿宋_GBK"/>
                <w:color w:val="auto"/>
                <w:sz w:val="24"/>
                <w:szCs w:val="24"/>
                <w:lang w:val="zh-CN"/>
              </w:rPr>
              <w:t>善“一镇一策”系</w:t>
            </w:r>
            <w:r>
              <w:rPr>
                <w:rFonts w:hint="default" w:ascii="Times New Roman" w:hAnsi="Times New Roman" w:eastAsia="方正仿宋_GBK" w:cs="Times New Roman"/>
                <w:color w:val="auto"/>
                <w:sz w:val="24"/>
                <w:szCs w:val="24"/>
                <w:lang w:val="zh-CN"/>
              </w:rPr>
              <w:t>统化治理方案，乡镇污水收集处理率提高5%以上。建立已建乡镇管网的动态排查机制，同步开展检测和修复工作，每年不低于10公里。</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区住建局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5"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提升污水收集处理能力</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郑陆污水处理厂一期提标改造工程</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常州郑陆污水处理有限公司拟新增用地36亩，设计规模为1万m³/d，土建建设调节池至二沉池之间各单体土建按5000m³/d规模建设，其余建构筑物按10000m³/d规模建设，设备按5000m³/d规模配套。</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提升污水收集处理能力</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弘源水务迁建项目</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本项目建设污水处理厂，总建筑面积20660平方米。配套建设废水深度处理系统、初沉池、水解池、工业净水池、事故应急池、调节池、污泥浓缩池等构筑物，面积14200平方米，并安装污水处理设备，其中工业废水处理系统设计规模30000立方米/天、零散废水处理系统设计规模1000立方米/天、中水回用系统设计规模3000立方米/天、生产供水系统设计规模10000立方米/天。</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天宁城市发展集团有限公司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提升污水收集处理能力</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工业污水管网建设工程</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新建6公里。</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开展河道综合治理</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eastAsia" w:ascii="方正仿宋_GBK" w:hAnsi="方正仿宋_GBK" w:eastAsia="方正仿宋_GBK" w:cs="方正仿宋_GBK"/>
                <w:color w:val="auto"/>
                <w:sz w:val="24"/>
                <w:szCs w:val="24"/>
                <w:lang w:val="zh-CN"/>
              </w:rPr>
              <w:t>“小微水体”整</w:t>
            </w:r>
            <w:r>
              <w:rPr>
                <w:rFonts w:hint="default" w:ascii="Times New Roman" w:hAnsi="Times New Roman" w:eastAsia="方正仿宋_GBK" w:cs="Times New Roman"/>
                <w:color w:val="auto"/>
                <w:sz w:val="24"/>
                <w:szCs w:val="24"/>
                <w:lang w:val="zh-CN"/>
              </w:rPr>
              <w:t>治</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pacing w:val="-6"/>
                <w:sz w:val="24"/>
                <w:szCs w:val="24"/>
                <w:lang w:val="zh-CN"/>
              </w:rPr>
              <w:t>整治问题小微水体2个。</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区农业农村局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（水利局）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开展河道综合治理</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农村黑臭水体治理</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pacing w:val="-6"/>
                <w:sz w:val="24"/>
                <w:szCs w:val="24"/>
                <w:lang w:val="zh-CN"/>
              </w:rPr>
            </w:pPr>
            <w:r>
              <w:rPr>
                <w:rFonts w:hint="default" w:ascii="Times New Roman" w:hAnsi="Times New Roman" w:eastAsia="方正仿宋_GBK" w:cs="Times New Roman"/>
                <w:color w:val="auto"/>
                <w:spacing w:val="-6"/>
                <w:sz w:val="24"/>
                <w:szCs w:val="24"/>
                <w:lang w:val="en-US" w:eastAsia="zh-CN"/>
              </w:rPr>
              <w:t>强化农村黑臭水体整治，</w:t>
            </w:r>
            <w:r>
              <w:rPr>
                <w:rFonts w:hint="default" w:ascii="Times New Roman" w:hAnsi="Times New Roman" w:eastAsia="方正仿宋_GBK" w:cs="Times New Roman"/>
                <w:color w:val="auto"/>
                <w:spacing w:val="-6"/>
                <w:sz w:val="24"/>
                <w:szCs w:val="24"/>
                <w:lang w:val="zh-CN"/>
              </w:rPr>
              <w:t>建立</w:t>
            </w:r>
            <w:r>
              <w:rPr>
                <w:rFonts w:hint="default" w:ascii="Times New Roman" w:hAnsi="Times New Roman" w:eastAsia="方正仿宋_GBK" w:cs="Times New Roman"/>
                <w:color w:val="auto"/>
                <w:sz w:val="24"/>
                <w:szCs w:val="24"/>
                <w:lang w:val="zh-CN"/>
              </w:rPr>
              <w:t>农村黑臭水体</w:t>
            </w:r>
            <w:r>
              <w:rPr>
                <w:rFonts w:hint="default" w:ascii="Times New Roman" w:hAnsi="Times New Roman" w:eastAsia="方正仿宋_GBK" w:cs="Times New Roman"/>
                <w:color w:val="auto"/>
                <w:spacing w:val="-6"/>
                <w:sz w:val="24"/>
                <w:szCs w:val="24"/>
                <w:lang w:val="zh-CN"/>
              </w:rPr>
              <w:t>动态排查治理销号制度，对2022年完成销号的6条黑臭水体的长效管护，开展一季度一次为期一年的水质监测。</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color w:val="auto"/>
                <w:sz w:val="24"/>
                <w:szCs w:val="24"/>
                <w:lang w:val="en-US" w:eastAsia="zh-CN"/>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开展河道综合治理</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美丽河湖建设</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年内至少创建1个美丽河湖优秀案例。</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开展河道综合治理</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农村河道轮浚</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2024年完成5万方清淤任务。</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区农业农村局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（水利局）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开展河道综合治理</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农村生态河道建设</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推进实施农村生态河道，清淤疏浚、岸坡整治、水系沟通、活水畅流等。2024年完成永武河等1条河道。</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区农业农村局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（水利局）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开展河道综合治理</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天宁高新区核心区周边</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水系综合整治工程</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完成焦溪中心河、永胜河和丰收河共计 3 条河道的综合整治。</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区农业农村局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（水利局）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开展河道综合治理</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支流支浜整治项目</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对天宁区北塘河、三山港、苏南运河主要支流支浜采取控源截污、排口整治、清淤活水、水系沟通、生态修复、长效管护等措施。工程分为支流支浜片区排水管网改造工程、河道整治工程、水生态修复工程等。2024年完成项目总体进度50%。</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区农业农村局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（水利局）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区住建局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雕庄街道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茶山街道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红梅街道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兰陵街道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开展河道综合治理</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雕庄浜水环境整治工程</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雨污分流；清淤疏浚；引流活水；智慧监测。</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区农业农村局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（水利局）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雕庄街道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天宁建设发展集团有限公司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开展河道综合治理</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和平工业园内河道水环境整治工程</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雨污分流；清淤疏浚；引流活水；智慧监测。</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区农业农村局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（水利局）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建立健全环太湖有机废弃物处理利用体系</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废弃物及有机废弃物综合利用收储运体系</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厨余（餐厨）垃圾综合利用率达90%以上，重点推进涉农区秸秆离田利用，农作物秸秆离田率达到15%以上、综合利用率稳定在95%以上，畜禽粪污综合利用率达95%以上。</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区城管局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区农业农村局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4174" w:type="dxa"/>
            <w:gridSpan w:val="7"/>
            <w:tcBorders>
              <w:tl2br w:val="nil"/>
              <w:tr2bl w:val="nil"/>
            </w:tcBorders>
            <w:vAlign w:val="center"/>
          </w:tcPr>
          <w:p>
            <w:pPr>
              <w:widowControl/>
              <w:overflowPunct w:val="0"/>
              <w:adjustRightInd w:val="0"/>
              <w:snapToGrid w:val="0"/>
              <w:spacing w:line="280" w:lineRule="exact"/>
              <w:ind w:firstLine="0" w:firstLineChars="0"/>
              <w:jc w:val="left"/>
              <w:textAlignment w:val="center"/>
              <w:rPr>
                <w:rFonts w:hint="default" w:ascii="Times New Roman" w:hAnsi="Times New Roman" w:eastAsia="方正仿宋_GBK" w:cs="Times New Roman"/>
                <w:color w:val="auto"/>
                <w:sz w:val="24"/>
                <w:szCs w:val="24"/>
              </w:rPr>
            </w:pPr>
            <w:r>
              <w:rPr>
                <w:rFonts w:hint="default" w:ascii="方正黑体_GBK" w:hAnsi="方正黑体_GBK" w:eastAsia="方正黑体_GBK" w:cs="方正黑体_GBK"/>
                <w:color w:val="auto"/>
                <w:sz w:val="24"/>
                <w:szCs w:val="24"/>
                <w:lang w:val="zh-CN"/>
              </w:rPr>
              <w:t>三、全面开展河流水质提升专项行动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5"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划定污水排放控制区</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开展溯源排查</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对4条上游关联骨干河流两侧，以及45条问题支浜，划定污水排放控制区，完成溯源排查，形成问题清单。年内完成30%整治任务。</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区农业农村局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（水利局）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区住建局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5"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加快能源绿色低碳转型</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rPr>
              <w:t>对主要河道和重点湖泊问题排污口的整治工作</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根据省、市要求，制定本辖区新一轮太湖流域入河（湖）排污口排查专项行动工作方案。6月底前完成对7条主要河道排污口的排查、监测、溯源工作，年内完成问题排污口的整治工作。</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2024.06</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加快能源绿色低碳转型</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对重点河道V类、劣V类支浜排污口的排查、监测、溯源工作</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完成对45条重点河道V类、劣V类支浜排污口的排查、监测、溯源工作。</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4174" w:type="dxa"/>
            <w:gridSpan w:val="7"/>
            <w:tcBorders>
              <w:tl2br w:val="nil"/>
              <w:tr2bl w:val="nil"/>
            </w:tcBorders>
            <w:vAlign w:val="center"/>
          </w:tcPr>
          <w:p>
            <w:pPr>
              <w:widowControl/>
              <w:overflowPunct w:val="0"/>
              <w:adjustRightInd w:val="0"/>
              <w:snapToGrid w:val="0"/>
              <w:spacing w:line="280" w:lineRule="exact"/>
              <w:ind w:firstLine="0" w:firstLineChars="0"/>
              <w:jc w:val="left"/>
              <w:textAlignment w:val="center"/>
              <w:rPr>
                <w:rFonts w:hint="default" w:ascii="Times New Roman" w:hAnsi="Times New Roman" w:eastAsia="方正仿宋_GBK" w:cs="Times New Roman"/>
                <w:color w:val="auto"/>
                <w:sz w:val="24"/>
                <w:szCs w:val="24"/>
              </w:rPr>
            </w:pPr>
            <w:r>
              <w:rPr>
                <w:rFonts w:hint="default" w:ascii="方正黑体_GBK" w:hAnsi="方正黑体_GBK" w:eastAsia="方正黑体_GBK" w:cs="方正黑体_GBK"/>
                <w:color w:val="auto"/>
                <w:sz w:val="24"/>
                <w:szCs w:val="24"/>
                <w:lang w:val="zh-CN"/>
              </w:rPr>
              <w:t>四、深入推进“危污乱散低”综合治理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1"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重点行业整治提升</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常州市天宁区绿色涂料集聚区VOCs工业绿岛项目</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生产中高端涂料产品，包括水性涂料、防火涂料、军工涂料、工业防腐涂料为主导的涂料产业，总规划产能5万吨。2024年启动集聚区综合楼与厂房建设建设。预计2025年全面完成涂料行业整治工作。</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4"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重点行业整治提升</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rPr>
              <w:t>涂料关停腾退项目</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pacing w:val="-11"/>
                <w:sz w:val="24"/>
                <w:szCs w:val="24"/>
                <w:lang w:val="zh-CN"/>
              </w:rPr>
              <w:t>星海涂料腾空拆迁；其余3家停产清理。</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4</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区工信局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区应急管理局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资规天宁分局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重点行业整治提升</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铸造行业整治</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推进高端铸造项目建设，鼓励企业技术改造提升，推动低效低质企业关停退出。关停退出企业3家，生态环境整治提升企业21家。</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区工信局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区应急管理局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重点行业整治提升</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印染行业整治</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关停退出2家印染企业，推动2家印染企业提升改造。</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区工信局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雕庄街道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产业集群综合治理</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天宁区干燥设备企业治理</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2024年内完成规范提升200家、关停淘汰50家。</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工业片区治理</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中绛产业园区</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片区内2家用地企业腾空拆迁。园区开工建设。</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资规天宁分局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工业片区治理</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查家工业园区</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4家用地企业腾空拆迁。</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资规天宁分局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工业片区治理</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rPr>
              <w:t>东塘路园区</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丰北村、梧岗村村庄规划取得批复。推进耐搏草坪建设。</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资规天宁分局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工业片区治理</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牟家装备制造产业园</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一期启动建设。</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资规天宁分局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工业片区治理</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中交智荟港</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完成中交智荟港竣工交付。</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资规天宁分局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工业片区治理</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和平工业园</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完成11家企业搬迁腾空工作。</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资规天宁分局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工业片区治理</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桐家工业园</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pacing w:val="-11"/>
                <w:sz w:val="24"/>
                <w:szCs w:val="24"/>
                <w:lang w:val="zh-CN"/>
              </w:rPr>
              <w:t>完成园区内30家签约企业搬迁腾空工作。</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资规天宁分局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eastAsia" w:ascii="方正仿宋_GBK" w:hAnsi="方正仿宋_GBK" w:eastAsia="方正仿宋_GBK" w:cs="方正仿宋_GBK"/>
                <w:color w:val="auto"/>
                <w:sz w:val="24"/>
                <w:szCs w:val="24"/>
                <w:lang w:val="zh-CN"/>
              </w:rPr>
              <w:t>“危污乱散低”企业点状出清</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问题企业点状出清</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明确190家以上企业整治清单，完成133家以上整治工作。</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区应急管理局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区工信局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雕庄街道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茶山街道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兰陵街道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4174" w:type="dxa"/>
            <w:gridSpan w:val="7"/>
            <w:tcBorders>
              <w:tl2br w:val="nil"/>
              <w:tr2bl w:val="nil"/>
            </w:tcBorders>
            <w:vAlign w:val="center"/>
          </w:tcPr>
          <w:p>
            <w:pPr>
              <w:widowControl/>
              <w:overflowPunct w:val="0"/>
              <w:adjustRightInd w:val="0"/>
              <w:snapToGrid w:val="0"/>
              <w:spacing w:line="280" w:lineRule="exact"/>
              <w:ind w:firstLine="0" w:firstLineChars="0"/>
              <w:jc w:val="left"/>
              <w:textAlignment w:val="center"/>
              <w:rPr>
                <w:rFonts w:hint="default" w:ascii="Times New Roman" w:hAnsi="Times New Roman" w:eastAsia="方正仿宋_GBK" w:cs="Times New Roman"/>
                <w:color w:val="auto"/>
                <w:sz w:val="24"/>
                <w:szCs w:val="24"/>
                <w:lang w:val="zh-CN"/>
              </w:rPr>
            </w:pPr>
            <w:r>
              <w:rPr>
                <w:rFonts w:hint="eastAsia" w:ascii="方正黑体_GBK" w:hAnsi="方正黑体_GBK" w:eastAsia="方正黑体_GBK" w:cs="方正黑体_GBK"/>
                <w:color w:val="auto"/>
                <w:sz w:val="24"/>
                <w:szCs w:val="24"/>
                <w:lang w:val="zh-CN"/>
              </w:rPr>
              <w:t>五、积极打造“两山”转换示范样板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lang w:val="zh-CN"/>
              </w:rPr>
              <w:t>积极探索“两山”转换新路径</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生态细胞建设</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en-US" w:eastAsia="zh-CN"/>
              </w:rPr>
              <w:t>开展</w:t>
            </w:r>
            <w:r>
              <w:rPr>
                <w:rFonts w:hint="default" w:ascii="Times New Roman" w:hAnsi="Times New Roman" w:eastAsia="方正仿宋_GBK" w:cs="Times New Roman"/>
                <w:color w:val="auto"/>
                <w:sz w:val="24"/>
                <w:szCs w:val="24"/>
                <w:lang w:val="zh-CN"/>
              </w:rPr>
              <w:t>天宁区国家生态文明建设示范区创建。</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zh-CN"/>
              </w:rPr>
              <w:t>天宁生态环境局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lang w:val="zh-CN"/>
              </w:rPr>
              <w:t>积极探索“两山”转换新路径</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生态细胞建设</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郑陆镇争创“两山”实践创新基地。</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zh-CN"/>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eastAsia" w:ascii="方正仿宋_GBK" w:hAnsi="方正仿宋_GBK" w:eastAsia="方正仿宋_GBK" w:cs="方正仿宋_GBK"/>
                <w:color w:val="auto"/>
                <w:sz w:val="24"/>
                <w:szCs w:val="24"/>
                <w:lang w:val="zh-CN"/>
              </w:rPr>
            </w:pPr>
            <w:r>
              <w:rPr>
                <w:rFonts w:hint="eastAsia" w:ascii="方正仿宋_GBK" w:hAnsi="方正仿宋_GBK" w:eastAsia="方正仿宋_GBK" w:cs="方正仿宋_GBK"/>
                <w:color w:val="auto"/>
                <w:sz w:val="24"/>
                <w:szCs w:val="24"/>
                <w:lang w:val="zh-CN"/>
              </w:rPr>
              <w:t>积极探索“两山”转换新路径</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生态细胞建设</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争创江苏省生态文明建设示范村1个，国际生态学校1所。</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zh-CN"/>
              </w:rPr>
              <w:t>天宁生态环境局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5"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强化美丽城乡建设</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推进农业农村现代化试点</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推进1个农业农村现代化示范片区（郑陆镇），完成河道整治、高标准农田建设、农村人居环境整治等任务。其中2024年推进天宁区农业农村现代化示范片区建设，完成40.5亩土地复垦，横岸排灌站改建及1349亩高标准农田建设。</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区农业农村局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（水利局）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zh-CN"/>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强化美丽城乡建设</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口袋公园</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完成新改扩建龙信臻园、宸悦花园配套绿化等10公顷公园绿地，儿童医院、朝阳菜场等4个口袋公园，劳动路、新堂北路等3条绿化景观路，华润万象城1处立体绿化等建设，补植修剪1个重点区域的道路行道树。</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val="en-US" w:eastAsia="zh-CN"/>
              </w:rPr>
              <w:t>5</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区城管局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雕庄街道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天宁街道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茶山街道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红梅街道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zh-CN"/>
              </w:rPr>
              <w:t>兰陵街道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强化美丽城乡建设</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美丽乡</w:t>
            </w:r>
            <w:r>
              <w:rPr>
                <w:rFonts w:hint="default" w:ascii="方正仿宋_GBK" w:hAnsi="方正仿宋_GBK" w:eastAsia="方正仿宋_GBK" w:cs="方正仿宋_GBK"/>
                <w:color w:val="auto"/>
                <w:sz w:val="24"/>
                <w:szCs w:val="24"/>
                <w:lang w:val="zh-CN"/>
              </w:rPr>
              <w:t>村“十百千”工程</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培育1个宜居宜业和美乡镇，加快推进1个农业农村现代化示范片区试点，建成2个以上宜居宜业和美乡村，完成20个以上村庄人居环境整治达标建设任务。</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区农业农村局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（水利局）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zh-CN"/>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推进生态系统保护修复</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rPr>
              <w:t>造林绿化</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pacing w:val="-11"/>
                <w:sz w:val="24"/>
                <w:szCs w:val="24"/>
                <w:lang w:val="zh-CN"/>
              </w:rPr>
              <w:t>完成造林绿化50亩，提升绿美村庄1个。</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资规天宁分局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5"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推进生态系统保护修复</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rPr>
              <w:t>天宁郑陆污水厂生态安全缓冲区</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天宁区郑陆污水厂生态安全缓冲区总长度约360m。尾水湿地设计规模为1万m³/d，包括一期工程工业废水处理厂5000m3/d尾水及二期生活污水处理厂（规模为2万m³/d）经提标改造后5000m3/d的尾水。</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推进生态系统保护修复</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zh-CN"/>
              </w:rPr>
              <w:t>生物多样性监测网络</w:t>
            </w:r>
            <w:r>
              <w:rPr>
                <w:rFonts w:hint="default" w:ascii="Times New Roman" w:hAnsi="Times New Roman" w:eastAsia="方正仿宋_GBK" w:cs="Times New Roman"/>
                <w:color w:val="auto"/>
                <w:sz w:val="24"/>
                <w:szCs w:val="24"/>
                <w:lang w:val="en-US" w:eastAsia="zh-CN"/>
              </w:rPr>
              <w:t>建设</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全面启动新一轮生物多样性本底调查</w:t>
            </w:r>
            <w:r>
              <w:rPr>
                <w:rFonts w:hint="default" w:ascii="Times New Roman" w:hAnsi="Times New Roman" w:eastAsia="方正仿宋_GBK" w:cs="Times New Roman"/>
                <w:color w:val="auto"/>
                <w:spacing w:val="-11"/>
                <w:sz w:val="24"/>
                <w:szCs w:val="24"/>
                <w:lang w:val="zh-CN"/>
              </w:rPr>
              <w:t>。健全生物多</w:t>
            </w:r>
            <w:r>
              <w:rPr>
                <w:rFonts w:hint="eastAsia" w:ascii="方正仿宋_GBK" w:hAnsi="方正仿宋_GBK" w:eastAsia="方正仿宋_GBK" w:cs="方正仿宋_GBK"/>
                <w:color w:val="auto"/>
                <w:spacing w:val="-11"/>
                <w:sz w:val="24"/>
                <w:szCs w:val="24"/>
                <w:lang w:val="zh-CN"/>
              </w:rPr>
              <w:t>样性监测网络，推进天宁区生态观测站接入市“水美”平</w:t>
            </w:r>
            <w:r>
              <w:rPr>
                <w:rFonts w:hint="default" w:ascii="Times New Roman" w:hAnsi="Times New Roman" w:eastAsia="方正仿宋_GBK" w:cs="Times New Roman"/>
                <w:color w:val="auto"/>
                <w:spacing w:val="-11"/>
                <w:sz w:val="24"/>
                <w:szCs w:val="24"/>
                <w:lang w:val="zh-CN"/>
              </w:rPr>
              <w:t>台。</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积极推</w:t>
            </w:r>
            <w:r>
              <w:rPr>
                <w:rFonts w:hint="default" w:ascii="方正仿宋_GBK" w:hAnsi="方正仿宋_GBK" w:eastAsia="方正仿宋_GBK" w:cs="方正仿宋_GBK"/>
                <w:color w:val="auto"/>
                <w:sz w:val="24"/>
                <w:szCs w:val="24"/>
                <w:lang w:val="zh-CN"/>
              </w:rPr>
              <w:t>进“无废城市”建</w:t>
            </w:r>
            <w:r>
              <w:rPr>
                <w:rFonts w:hint="default" w:ascii="Times New Roman" w:hAnsi="Times New Roman" w:eastAsia="方正仿宋_GBK" w:cs="Times New Roman"/>
                <w:color w:val="auto"/>
                <w:sz w:val="24"/>
                <w:szCs w:val="24"/>
                <w:lang w:val="zh-CN"/>
              </w:rPr>
              <w:t>设</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eastAsia" w:ascii="方正仿宋_GBK" w:hAnsi="方正仿宋_GBK" w:eastAsia="方正仿宋_GBK" w:cs="方正仿宋_GBK"/>
                <w:color w:val="auto"/>
                <w:sz w:val="24"/>
                <w:szCs w:val="24"/>
                <w:lang w:val="zh-CN"/>
              </w:rPr>
              <w:t>“四分类”达</w:t>
            </w:r>
            <w:r>
              <w:rPr>
                <w:rFonts w:hint="default" w:ascii="Times New Roman" w:hAnsi="Times New Roman" w:eastAsia="方正仿宋_GBK" w:cs="Times New Roman"/>
                <w:color w:val="auto"/>
                <w:sz w:val="24"/>
                <w:szCs w:val="24"/>
              </w:rPr>
              <w:t>标小区建设</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2024年创建完成67个达标小区；到2025年，建成区所有居民</w:t>
            </w:r>
            <w:r>
              <w:rPr>
                <w:rFonts w:hint="default" w:ascii="方正仿宋_GBK" w:hAnsi="方正仿宋_GBK" w:eastAsia="方正仿宋_GBK" w:cs="方正仿宋_GBK"/>
                <w:color w:val="auto"/>
                <w:sz w:val="24"/>
                <w:szCs w:val="24"/>
                <w:lang w:val="zh-CN"/>
              </w:rPr>
              <w:t>小区建成“四分类”达标小</w:t>
            </w:r>
            <w:r>
              <w:rPr>
                <w:rFonts w:hint="default" w:ascii="Times New Roman" w:hAnsi="Times New Roman" w:eastAsia="方正仿宋_GBK" w:cs="Times New Roman"/>
                <w:color w:val="auto"/>
                <w:sz w:val="24"/>
                <w:szCs w:val="24"/>
                <w:lang w:val="zh-CN"/>
              </w:rPr>
              <w:t>区。</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区城管局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开发区（青龙街道）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雕庄街道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茶山街道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红梅街道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兰陵街道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提升现代化</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治理能力</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rPr>
              <w:t>生态环境基础设施建设</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推进实施10个生态环境基础设施重点工程项目。</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提升现代化</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治理能力</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排污许可证管理</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全区排污单位自行监测信息公开率达到95%以上。</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2024.12</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提升现代化</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治理能力</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水质自动站建设</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完成26条河道一级支浜水质自动监测项目。</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区农业农村局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（水利局）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切实解决生态环境突出问题</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zh-CN"/>
              </w:rPr>
              <w:t>生态环境保护督察</w:t>
            </w:r>
            <w:r>
              <w:rPr>
                <w:rFonts w:hint="default" w:ascii="Times New Roman" w:hAnsi="Times New Roman" w:eastAsia="方正仿宋_GBK" w:cs="Times New Roman"/>
                <w:color w:val="auto"/>
                <w:sz w:val="24"/>
                <w:szCs w:val="24"/>
              </w:rPr>
              <w:t>问题</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rPr>
              <w:t>整改销号</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高质量完成中央、省级生态环境保护督察交办问题整改，严格落实问题整改销号制。</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区各有关部门</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各有关板块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切实解决生态环境突出问题</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rPr>
              <w:t>挂牌督办</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按要求完成省、市政府挂牌督办重点生态环境项目和上级交办的其他突出环境问题整改任务。</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区各有关部门</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各有关板块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67" w:type="dxa"/>
            <w:tcBorders>
              <w:tl2br w:val="nil"/>
              <w:tr2bl w:val="nil"/>
            </w:tcBorders>
            <w:vAlign w:val="center"/>
          </w:tcPr>
          <w:p>
            <w:pPr>
              <w:numPr>
                <w:ilvl w:val="0"/>
                <w:numId w:val="2"/>
              </w:numPr>
              <w:overflowPunct w:val="0"/>
              <w:adjustRightInd w:val="0"/>
              <w:snapToGrid w:val="0"/>
              <w:spacing w:line="280" w:lineRule="exact"/>
              <w:ind w:left="0" w:firstLine="0" w:firstLineChars="0"/>
              <w:jc w:val="center"/>
              <w:rPr>
                <w:rFonts w:hint="default" w:ascii="Times New Roman" w:hAnsi="Times New Roman" w:eastAsia="方正仿宋_GBK" w:cs="Times New Roman"/>
                <w:color w:val="auto"/>
                <w:kern w:val="2"/>
                <w:sz w:val="24"/>
                <w:szCs w:val="24"/>
                <w:lang w:val="zh-CN"/>
              </w:rPr>
            </w:pPr>
          </w:p>
        </w:tc>
        <w:tc>
          <w:tcPr>
            <w:tcW w:w="1883"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切实解决生态环境突出问题</w:t>
            </w:r>
          </w:p>
        </w:tc>
        <w:tc>
          <w:tcPr>
            <w:tcW w:w="299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rPr>
              <w:t>两治一提升</w:t>
            </w:r>
          </w:p>
        </w:tc>
        <w:tc>
          <w:tcPr>
            <w:tcW w:w="4142" w:type="dxa"/>
            <w:tcBorders>
              <w:tl2br w:val="nil"/>
              <w:tr2bl w:val="nil"/>
            </w:tcBorders>
            <w:vAlign w:val="center"/>
          </w:tcPr>
          <w:p>
            <w:pPr>
              <w:widowControl/>
              <w:overflowPunct w:val="0"/>
              <w:adjustRightInd w:val="0"/>
              <w:snapToGrid w:val="0"/>
              <w:spacing w:line="280" w:lineRule="exact"/>
              <w:ind w:firstLine="0" w:firstLineChars="0"/>
              <w:textAlignment w:val="center"/>
              <w:rPr>
                <w:rFonts w:hint="default" w:ascii="Times New Roman" w:hAnsi="Times New Roman" w:eastAsia="方正仿宋_GBK" w:cs="Times New Roman"/>
                <w:color w:val="auto"/>
                <w:sz w:val="24"/>
                <w:szCs w:val="24"/>
                <w:lang w:val="zh-CN"/>
              </w:rPr>
            </w:pPr>
            <w:r>
              <w:rPr>
                <w:rFonts w:hint="default" w:ascii="Times New Roman" w:hAnsi="Times New Roman" w:eastAsia="方正仿宋_GBK" w:cs="Times New Roman"/>
                <w:color w:val="auto"/>
                <w:sz w:val="24"/>
                <w:szCs w:val="24"/>
                <w:lang w:val="zh-CN"/>
              </w:rPr>
              <w:t>持续开</w:t>
            </w:r>
            <w:r>
              <w:rPr>
                <w:rFonts w:hint="eastAsia" w:ascii="方正仿宋_GBK" w:hAnsi="方正仿宋_GBK" w:eastAsia="方正仿宋_GBK" w:cs="方正仿宋_GBK"/>
                <w:color w:val="auto"/>
                <w:sz w:val="24"/>
                <w:szCs w:val="24"/>
                <w:lang w:val="zh-CN"/>
              </w:rPr>
              <w:t>展“两治一提升”专</w:t>
            </w:r>
            <w:r>
              <w:rPr>
                <w:rFonts w:hint="default" w:ascii="Times New Roman" w:hAnsi="Times New Roman" w:eastAsia="方正仿宋_GBK" w:cs="Times New Roman"/>
                <w:color w:val="auto"/>
                <w:sz w:val="24"/>
                <w:szCs w:val="24"/>
                <w:lang w:val="zh-CN"/>
              </w:rPr>
              <w:t>项行动，着力解决群众身边的生态环境问题。生态环境信访总量同比下降10%。</w:t>
            </w:r>
          </w:p>
        </w:tc>
        <w:tc>
          <w:tcPr>
            <w:tcW w:w="856"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1334"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2024.11</w:t>
            </w:r>
          </w:p>
        </w:tc>
        <w:tc>
          <w:tcPr>
            <w:tcW w:w="2198" w:type="dxa"/>
            <w:tcBorders>
              <w:tl2br w:val="nil"/>
              <w:tr2bl w:val="nil"/>
            </w:tcBorders>
            <w:vAlign w:val="center"/>
          </w:tcPr>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天宁生态环境局</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开发区（青龙街道）郑陆镇</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雕庄街道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茶山街道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红梅街道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天宁街道</w:t>
            </w:r>
          </w:p>
          <w:p>
            <w:pPr>
              <w:widowControl/>
              <w:overflowPunct w:val="0"/>
              <w:adjustRightInd w:val="0"/>
              <w:snapToGrid w:val="0"/>
              <w:spacing w:line="280" w:lineRule="exact"/>
              <w:ind w:firstLine="0" w:firstLineChars="0"/>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兰陵街道</w:t>
            </w:r>
          </w:p>
        </w:tc>
      </w:tr>
    </w:tbl>
    <w:p>
      <w:pPr>
        <w:ind w:firstLine="0" w:firstLineChars="0"/>
        <w:jc w:val="left"/>
        <w:rPr>
          <w:rFonts w:hint="default" w:ascii="Times New Roman" w:hAnsi="Times New Roman" w:eastAsia="黑体" w:cs="Times New Roman"/>
          <w:color w:val="auto"/>
          <w:spacing w:val="-14"/>
          <w:sz w:val="21"/>
          <w:szCs w:val="21"/>
        </w:rPr>
        <w:sectPr>
          <w:footerReference r:id="rId5" w:type="default"/>
          <w:pgSz w:w="16838" w:h="11906" w:orient="landscape"/>
          <w:pgMar w:top="1531" w:right="1417" w:bottom="1531" w:left="1417" w:header="851" w:footer="992" w:gutter="0"/>
          <w:pgBorders>
            <w:top w:val="none" w:sz="0" w:space="0"/>
            <w:left w:val="none" w:sz="0" w:space="0"/>
            <w:bottom w:val="none" w:sz="0" w:space="0"/>
            <w:right w:val="none" w:sz="0" w:space="0"/>
          </w:pgBorders>
          <w:pgNumType w:fmt="decimal"/>
          <w:cols w:space="0" w:num="1"/>
          <w:rtlGutter w:val="0"/>
          <w:docGrid w:type="lines" w:linePitch="439" w:charSpace="0"/>
        </w:sectPr>
      </w:pPr>
    </w:p>
    <w:p>
      <w:pPr>
        <w:pStyle w:val="2"/>
        <w:rPr>
          <w:rFonts w:hint="default"/>
        </w:rPr>
      </w:pPr>
      <w:bookmarkStart w:id="0" w:name="_GoBack"/>
      <w:bookmarkEnd w:id="0"/>
    </w:p>
    <w:sectPr>
      <w:pgSz w:w="11906" w:h="16838"/>
      <w:pgMar w:top="2098" w:right="1531" w:bottom="1984" w:left="1531" w:header="851" w:footer="992" w:gutter="0"/>
      <w:pgBorders>
        <w:top w:val="none" w:sz="0" w:space="0"/>
        <w:left w:val="none" w:sz="0" w:space="0"/>
        <w:bottom w:val="none" w:sz="0" w:space="0"/>
        <w:right w:val="none" w:sz="0" w:space="0"/>
      </w:pgBorders>
      <w:pgNumType w:fmt="decimal"/>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3599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359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bidi w:val="0"/>
                            <w:adjustRightInd/>
                            <w:snapToGrid w:val="0"/>
                            <w:ind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3.7pt;mso-position-horizontal:outside;mso-position-horizontal-relative:margin;z-index:251659264;mso-width-relative:page;mso-height-relative:page;" filled="f" stroked="f" coordsize="21600,21600" o:gfxdata="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2jQzr1AAAAAUBAAAPAAAAAAAAAAEAIAAAACIAAABkcnMvZG93bnJldi54&#10;bWxQSwECFAAUAAAACACHTuJAJ7HctTcCAABiBAAADgAAAAAAAAABACAAAAAjAQAAZHJzL2Uyb0Rv&#10;Yy54bWxQSwUGAAAAAAYABgBZAQAAzAU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bidi w:val="0"/>
                      <w:adjustRightInd/>
                      <w:snapToGrid w:val="0"/>
                      <w:ind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0536C8"/>
    <w:multiLevelType w:val="multilevel"/>
    <w:tmpl w:val="FB0536C8"/>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0EC5F42"/>
    <w:multiLevelType w:val="multilevel"/>
    <w:tmpl w:val="70EC5F42"/>
    <w:lvl w:ilvl="0" w:tentative="0">
      <w:start w:val="1"/>
      <w:numFmt w:val="decimal"/>
      <w:suff w:val="nothing"/>
      <w:lvlText w:val="%1"/>
      <w:lvlJc w:val="left"/>
      <w:pPr>
        <w:ind w:left="562"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iMTA0MDk3MDU4NWI1ZDIxZWQ1NDcxNDBiZGQ4MTMifQ=="/>
    <w:docVar w:name="KSO_WPS_MARK_KEY" w:val="7cef5e59-0194-42cc-bfc0-849a337e90e0"/>
  </w:docVars>
  <w:rsids>
    <w:rsidRoot w:val="004F0166"/>
    <w:rsid w:val="0007212A"/>
    <w:rsid w:val="001709DF"/>
    <w:rsid w:val="001852E5"/>
    <w:rsid w:val="001F688F"/>
    <w:rsid w:val="00245899"/>
    <w:rsid w:val="002A46DC"/>
    <w:rsid w:val="002B66ED"/>
    <w:rsid w:val="00383458"/>
    <w:rsid w:val="004F0166"/>
    <w:rsid w:val="00656CC5"/>
    <w:rsid w:val="00707459"/>
    <w:rsid w:val="007A42D4"/>
    <w:rsid w:val="008518F4"/>
    <w:rsid w:val="00B1395A"/>
    <w:rsid w:val="00C07E98"/>
    <w:rsid w:val="00DA698A"/>
    <w:rsid w:val="025F73E3"/>
    <w:rsid w:val="02C44123"/>
    <w:rsid w:val="03350D2F"/>
    <w:rsid w:val="03554D2A"/>
    <w:rsid w:val="037F6562"/>
    <w:rsid w:val="07F932B6"/>
    <w:rsid w:val="09475EF5"/>
    <w:rsid w:val="0A30755B"/>
    <w:rsid w:val="105A46D9"/>
    <w:rsid w:val="10FE2B03"/>
    <w:rsid w:val="112373A1"/>
    <w:rsid w:val="12415B32"/>
    <w:rsid w:val="14C4253A"/>
    <w:rsid w:val="17896C79"/>
    <w:rsid w:val="19EE47F1"/>
    <w:rsid w:val="19F534E6"/>
    <w:rsid w:val="1FDF4503"/>
    <w:rsid w:val="236A44B5"/>
    <w:rsid w:val="2393030F"/>
    <w:rsid w:val="2802584F"/>
    <w:rsid w:val="288F719F"/>
    <w:rsid w:val="291B08E4"/>
    <w:rsid w:val="29924874"/>
    <w:rsid w:val="2A5A1A2F"/>
    <w:rsid w:val="2C450CB6"/>
    <w:rsid w:val="2CAE0B2B"/>
    <w:rsid w:val="31B3447C"/>
    <w:rsid w:val="31CA60F3"/>
    <w:rsid w:val="33D72B59"/>
    <w:rsid w:val="35E81D9F"/>
    <w:rsid w:val="366FB066"/>
    <w:rsid w:val="36EF6323"/>
    <w:rsid w:val="393A60BD"/>
    <w:rsid w:val="3CB925E5"/>
    <w:rsid w:val="3D350630"/>
    <w:rsid w:val="412623FF"/>
    <w:rsid w:val="42EA6EC8"/>
    <w:rsid w:val="47D67213"/>
    <w:rsid w:val="4FA215C5"/>
    <w:rsid w:val="51CA1990"/>
    <w:rsid w:val="51FF2A27"/>
    <w:rsid w:val="523C19B8"/>
    <w:rsid w:val="5D76352D"/>
    <w:rsid w:val="636730B6"/>
    <w:rsid w:val="63F327E7"/>
    <w:rsid w:val="65206DF6"/>
    <w:rsid w:val="6722057A"/>
    <w:rsid w:val="6A535860"/>
    <w:rsid w:val="6D2B7903"/>
    <w:rsid w:val="6F7EAC75"/>
    <w:rsid w:val="6FE2D180"/>
    <w:rsid w:val="701D437B"/>
    <w:rsid w:val="71BD6510"/>
    <w:rsid w:val="72BA606D"/>
    <w:rsid w:val="737705E7"/>
    <w:rsid w:val="767C4CA6"/>
    <w:rsid w:val="788B412F"/>
    <w:rsid w:val="79DE432F"/>
    <w:rsid w:val="79FEDCB1"/>
    <w:rsid w:val="7A2D50DB"/>
    <w:rsid w:val="7C3C2F16"/>
    <w:rsid w:val="7DFF4C0B"/>
    <w:rsid w:val="7EC614EA"/>
    <w:rsid w:val="7FBB4998"/>
    <w:rsid w:val="7FFE052D"/>
    <w:rsid w:val="8BED5893"/>
    <w:rsid w:val="DB7BB1E7"/>
    <w:rsid w:val="EFD5663E"/>
    <w:rsid w:val="F4BF7418"/>
    <w:rsid w:val="F7DD4956"/>
    <w:rsid w:val="FBFEAAFC"/>
    <w:rsid w:val="FD79124A"/>
    <w:rsid w:val="FE8FEE03"/>
    <w:rsid w:val="FF98D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0" w:lineRule="exact"/>
      <w:ind w:firstLine="200" w:firstLineChars="200"/>
      <w:jc w:val="both"/>
    </w:pPr>
    <w:rPr>
      <w:rFonts w:ascii="Times New Roman" w:hAnsi="Times New Roman" w:eastAsia="仿宋_GB2312" w:cs="方正仿宋_GBK"/>
      <w:color w:val="000000"/>
      <w:sz w:val="32"/>
      <w:szCs w:val="32"/>
      <w:lang w:val="en-US" w:eastAsia="zh-CN" w:bidi="ar-SA"/>
    </w:rPr>
  </w:style>
  <w:style w:type="paragraph" w:styleId="2">
    <w:name w:val="heading 1"/>
    <w:basedOn w:val="1"/>
    <w:next w:val="1"/>
    <w:link w:val="19"/>
    <w:qFormat/>
    <w:uiPriority w:val="0"/>
    <w:pPr>
      <w:adjustRightInd w:val="0"/>
      <w:snapToGrid w:val="0"/>
      <w:spacing w:line="560" w:lineRule="exact"/>
      <w:ind w:firstLine="0" w:firstLineChars="0"/>
      <w:jc w:val="center"/>
      <w:outlineLvl w:val="0"/>
    </w:pPr>
    <w:rPr>
      <w:rFonts w:ascii="方正小标宋简体" w:hAnsi="方正小标宋简体" w:eastAsia="方正小标宋简体" w:cs="方正小标宋简体"/>
      <w:color w:val="auto"/>
      <w:kern w:val="2"/>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0"/>
    <w:pPr>
      <w:spacing w:line="240" w:lineRule="auto"/>
      <w:ind w:firstLine="0" w:firstLineChars="0"/>
      <w:jc w:val="left"/>
    </w:pPr>
    <w:rPr>
      <w:rFonts w:eastAsia="宋体" w:cs="Times New Roman"/>
      <w:color w:val="auto"/>
      <w:kern w:val="2"/>
      <w:sz w:val="21"/>
      <w:szCs w:val="24"/>
    </w:rPr>
  </w:style>
  <w:style w:type="paragraph" w:styleId="4">
    <w:name w:val="Body Text"/>
    <w:basedOn w:val="1"/>
    <w:link w:val="21"/>
    <w:qFormat/>
    <w:uiPriority w:val="1"/>
    <w:pPr>
      <w:spacing w:line="240" w:lineRule="auto"/>
      <w:ind w:left="101" w:firstLine="0" w:firstLineChars="0"/>
      <w:jc w:val="left"/>
    </w:pPr>
    <w:rPr>
      <w:rFonts w:ascii="宋体" w:hAnsi="宋体" w:eastAsia="宋体" w:cs="Times New Roman"/>
      <w:color w:val="auto"/>
      <w:sz w:val="29"/>
      <w:szCs w:val="29"/>
      <w:lang w:eastAsia="en-US"/>
    </w:rPr>
  </w:style>
  <w:style w:type="paragraph" w:styleId="5">
    <w:name w:val="Body Text Indent"/>
    <w:basedOn w:val="1"/>
    <w:link w:val="22"/>
    <w:qFormat/>
    <w:uiPriority w:val="0"/>
    <w:pPr>
      <w:spacing w:after="120" w:line="240" w:lineRule="auto"/>
      <w:ind w:left="420" w:firstLine="0" w:firstLineChars="0"/>
    </w:pPr>
    <w:rPr>
      <w:rFonts w:eastAsia="宋体" w:cs="Times New Roman"/>
      <w:color w:val="auto"/>
      <w:kern w:val="2"/>
      <w:sz w:val="21"/>
      <w:szCs w:val="24"/>
    </w:rPr>
  </w:style>
  <w:style w:type="paragraph" w:styleId="6">
    <w:name w:val="index 4"/>
    <w:next w:val="1"/>
    <w:qFormat/>
    <w:uiPriority w:val="0"/>
    <w:pPr>
      <w:widowControl w:val="0"/>
      <w:ind w:left="1260"/>
      <w:jc w:val="both"/>
    </w:pPr>
    <w:rPr>
      <w:rFonts w:ascii="Calibri" w:hAnsi="Calibri" w:eastAsia="仿宋_GB2312" w:cs="Times New Roman"/>
      <w:kern w:val="2"/>
      <w:sz w:val="32"/>
      <w:szCs w:val="24"/>
      <w:lang w:val="en-US" w:eastAsia="zh-CN" w:bidi="ar-SA"/>
    </w:rPr>
  </w:style>
  <w:style w:type="paragraph" w:styleId="7">
    <w:name w:val="Date"/>
    <w:basedOn w:val="1"/>
    <w:next w:val="1"/>
    <w:link w:val="23"/>
    <w:qFormat/>
    <w:uiPriority w:val="0"/>
    <w:pPr>
      <w:spacing w:line="240" w:lineRule="auto"/>
      <w:ind w:left="100" w:leftChars="2500" w:firstLine="0" w:firstLineChars="0"/>
    </w:pPr>
    <w:rPr>
      <w:rFonts w:eastAsia="宋体" w:cs="Times New Roman"/>
      <w:color w:val="auto"/>
      <w:kern w:val="2"/>
      <w:sz w:val="21"/>
      <w:szCs w:val="24"/>
    </w:rPr>
  </w:style>
  <w:style w:type="paragraph" w:styleId="8">
    <w:name w:val="Balloon Text"/>
    <w:basedOn w:val="1"/>
    <w:link w:val="24"/>
    <w:autoRedefine/>
    <w:qFormat/>
    <w:uiPriority w:val="0"/>
    <w:pPr>
      <w:spacing w:line="240" w:lineRule="auto"/>
      <w:ind w:firstLine="0" w:firstLineChars="0"/>
    </w:pPr>
    <w:rPr>
      <w:rFonts w:eastAsia="宋体" w:cs="Times New Roman"/>
      <w:color w:val="auto"/>
      <w:kern w:val="2"/>
      <w:sz w:val="18"/>
      <w:szCs w:val="18"/>
    </w:rPr>
  </w:style>
  <w:style w:type="paragraph" w:styleId="9">
    <w:name w:val="footer"/>
    <w:basedOn w:val="1"/>
    <w:link w:val="25"/>
    <w:qFormat/>
    <w:uiPriority w:val="99"/>
    <w:pPr>
      <w:tabs>
        <w:tab w:val="center" w:pos="4153"/>
        <w:tab w:val="right" w:pos="8306"/>
      </w:tabs>
      <w:snapToGrid w:val="0"/>
      <w:jc w:val="left"/>
    </w:pPr>
    <w:rPr>
      <w:sz w:val="18"/>
      <w:szCs w:val="18"/>
    </w:rPr>
  </w:style>
  <w:style w:type="paragraph" w:styleId="10">
    <w:name w:val="header"/>
    <w:basedOn w:val="1"/>
    <w:link w:val="26"/>
    <w:autoRedefine/>
    <w:qFormat/>
    <w:uiPriority w:val="0"/>
    <w:pPr>
      <w:pBdr>
        <w:bottom w:val="single" w:color="auto" w:sz="6" w:space="1"/>
      </w:pBdr>
      <w:tabs>
        <w:tab w:val="center" w:pos="4153"/>
        <w:tab w:val="right" w:pos="8306"/>
      </w:tabs>
      <w:snapToGrid w:val="0"/>
      <w:spacing w:line="240" w:lineRule="auto"/>
      <w:ind w:firstLine="0" w:firstLineChars="0"/>
      <w:jc w:val="center"/>
    </w:pPr>
    <w:rPr>
      <w:rFonts w:eastAsia="宋体" w:cs="Times New Roman"/>
      <w:color w:val="auto"/>
      <w:kern w:val="2"/>
      <w:sz w:val="18"/>
      <w:szCs w:val="18"/>
    </w:rPr>
  </w:style>
  <w:style w:type="paragraph" w:styleId="11">
    <w:name w:val="footnote text"/>
    <w:basedOn w:val="1"/>
    <w:link w:val="27"/>
    <w:autoRedefine/>
    <w:unhideWhenUsed/>
    <w:qFormat/>
    <w:uiPriority w:val="99"/>
    <w:pPr>
      <w:snapToGrid w:val="0"/>
      <w:spacing w:line="240" w:lineRule="auto"/>
      <w:ind w:firstLine="0" w:firstLineChars="0"/>
      <w:jc w:val="left"/>
    </w:pPr>
    <w:rPr>
      <w:rFonts w:eastAsia="宋体" w:cs="Times New Roman"/>
      <w:color w:val="auto"/>
      <w:kern w:val="2"/>
      <w:sz w:val="18"/>
      <w:szCs w:val="18"/>
    </w:rPr>
  </w:style>
  <w:style w:type="paragraph" w:styleId="12">
    <w:name w:val="Normal (Web)"/>
    <w:basedOn w:val="1"/>
    <w:qFormat/>
    <w:uiPriority w:val="0"/>
    <w:pPr>
      <w:spacing w:line="240" w:lineRule="auto"/>
      <w:ind w:firstLine="0" w:firstLineChars="0"/>
    </w:pPr>
    <w:rPr>
      <w:rFonts w:ascii="Calibri" w:hAnsi="Calibri" w:eastAsia="宋体" w:cs="Times New Roman"/>
      <w:color w:val="auto"/>
      <w:kern w:val="2"/>
      <w:sz w:val="24"/>
      <w:szCs w:val="24"/>
    </w:rPr>
  </w:style>
  <w:style w:type="paragraph" w:styleId="13">
    <w:name w:val="Body Text First Indent 2"/>
    <w:basedOn w:val="5"/>
    <w:link w:val="28"/>
    <w:autoRedefine/>
    <w:qFormat/>
    <w:uiPriority w:val="0"/>
    <w:pPr>
      <w:ind w:firstLine="420"/>
    </w:pPr>
  </w:style>
  <w:style w:type="table" w:styleId="15">
    <w:name w:val="Table Grid"/>
    <w:basedOn w:val="14"/>
    <w:autoRedefine/>
    <w:qFormat/>
    <w:uiPriority w:val="59"/>
    <w:rPr>
      <w:rFonts w:ascii="Calibri" w:hAnsi="Calibri" w:eastAsia="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page number"/>
    <w:autoRedefine/>
    <w:qFormat/>
    <w:uiPriority w:val="0"/>
  </w:style>
  <w:style w:type="paragraph" w:customStyle="1" w:styleId="18">
    <w:name w:val="Default"/>
    <w:autoRedefine/>
    <w:qFormat/>
    <w:uiPriority w:val="0"/>
    <w:pPr>
      <w:widowControl w:val="0"/>
      <w:autoSpaceDE w:val="0"/>
      <w:autoSpaceDN w:val="0"/>
      <w:adjustRightInd w:val="0"/>
    </w:pPr>
    <w:rPr>
      <w:rFonts w:ascii="方正小标宋_GBK" w:eastAsia="方正小标宋_GBK" w:cs="方正小标宋_GBK" w:hAnsiTheme="minorHAnsi"/>
      <w:color w:val="000000"/>
      <w:kern w:val="0"/>
      <w:sz w:val="24"/>
      <w:szCs w:val="24"/>
      <w:lang w:val="en-US" w:eastAsia="zh-CN" w:bidi="ar-SA"/>
    </w:rPr>
  </w:style>
  <w:style w:type="character" w:customStyle="1" w:styleId="19">
    <w:name w:val="标题 1 字符"/>
    <w:basedOn w:val="16"/>
    <w:link w:val="2"/>
    <w:qFormat/>
    <w:uiPriority w:val="0"/>
    <w:rPr>
      <w:rFonts w:ascii="方正小标宋简体" w:hAnsi="方正小标宋简体" w:eastAsia="方正小标宋简体" w:cs="方正小标宋简体"/>
      <w:kern w:val="2"/>
      <w:sz w:val="44"/>
      <w:szCs w:val="44"/>
    </w:rPr>
  </w:style>
  <w:style w:type="character" w:customStyle="1" w:styleId="20">
    <w:name w:val="批注文字 字符"/>
    <w:basedOn w:val="16"/>
    <w:link w:val="3"/>
    <w:autoRedefine/>
    <w:qFormat/>
    <w:uiPriority w:val="0"/>
    <w:rPr>
      <w:rFonts w:ascii="Times New Roman" w:hAnsi="Times New Roman" w:eastAsia="宋体" w:cs="Times New Roman"/>
      <w:kern w:val="2"/>
      <w:sz w:val="21"/>
      <w:szCs w:val="24"/>
    </w:rPr>
  </w:style>
  <w:style w:type="character" w:customStyle="1" w:styleId="21">
    <w:name w:val="正文文本 字符"/>
    <w:basedOn w:val="16"/>
    <w:link w:val="4"/>
    <w:autoRedefine/>
    <w:qFormat/>
    <w:uiPriority w:val="1"/>
    <w:rPr>
      <w:rFonts w:ascii="宋体" w:hAnsi="宋体" w:eastAsia="宋体" w:cs="Times New Roman"/>
      <w:sz w:val="29"/>
      <w:szCs w:val="29"/>
      <w:lang w:eastAsia="en-US"/>
    </w:rPr>
  </w:style>
  <w:style w:type="character" w:customStyle="1" w:styleId="22">
    <w:name w:val="正文文本缩进 字符"/>
    <w:basedOn w:val="16"/>
    <w:link w:val="5"/>
    <w:qFormat/>
    <w:uiPriority w:val="0"/>
    <w:rPr>
      <w:rFonts w:ascii="Times New Roman" w:hAnsi="Times New Roman" w:eastAsia="宋体" w:cs="Times New Roman"/>
      <w:kern w:val="2"/>
      <w:sz w:val="21"/>
      <w:szCs w:val="24"/>
    </w:rPr>
  </w:style>
  <w:style w:type="character" w:customStyle="1" w:styleId="23">
    <w:name w:val="日期 字符"/>
    <w:basedOn w:val="16"/>
    <w:link w:val="7"/>
    <w:autoRedefine/>
    <w:qFormat/>
    <w:uiPriority w:val="0"/>
    <w:rPr>
      <w:rFonts w:ascii="Times New Roman" w:hAnsi="Times New Roman" w:eastAsia="宋体" w:cs="Times New Roman"/>
      <w:kern w:val="2"/>
      <w:sz w:val="21"/>
      <w:szCs w:val="24"/>
    </w:rPr>
  </w:style>
  <w:style w:type="character" w:customStyle="1" w:styleId="24">
    <w:name w:val="批注框文本 字符"/>
    <w:basedOn w:val="16"/>
    <w:link w:val="8"/>
    <w:autoRedefine/>
    <w:qFormat/>
    <w:uiPriority w:val="0"/>
    <w:rPr>
      <w:rFonts w:ascii="Times New Roman" w:hAnsi="Times New Roman" w:eastAsia="宋体" w:cs="Times New Roman"/>
      <w:kern w:val="2"/>
      <w:sz w:val="18"/>
      <w:szCs w:val="18"/>
    </w:rPr>
  </w:style>
  <w:style w:type="character" w:customStyle="1" w:styleId="25">
    <w:name w:val="页脚 字符"/>
    <w:basedOn w:val="16"/>
    <w:link w:val="9"/>
    <w:qFormat/>
    <w:uiPriority w:val="99"/>
    <w:rPr>
      <w:rFonts w:ascii="Times New Roman" w:hAnsi="Times New Roman" w:eastAsia="仿宋_GB2312" w:cs="方正仿宋_GBK"/>
      <w:color w:val="000000"/>
      <w:sz w:val="18"/>
      <w:szCs w:val="18"/>
    </w:rPr>
  </w:style>
  <w:style w:type="character" w:customStyle="1" w:styleId="26">
    <w:name w:val="页眉 字符"/>
    <w:basedOn w:val="16"/>
    <w:link w:val="10"/>
    <w:autoRedefine/>
    <w:qFormat/>
    <w:uiPriority w:val="0"/>
    <w:rPr>
      <w:rFonts w:ascii="Times New Roman" w:hAnsi="Times New Roman" w:eastAsia="宋体" w:cs="Times New Roman"/>
      <w:kern w:val="2"/>
      <w:sz w:val="18"/>
      <w:szCs w:val="18"/>
    </w:rPr>
  </w:style>
  <w:style w:type="character" w:customStyle="1" w:styleId="27">
    <w:name w:val="脚注文本 字符"/>
    <w:basedOn w:val="16"/>
    <w:link w:val="11"/>
    <w:autoRedefine/>
    <w:qFormat/>
    <w:uiPriority w:val="99"/>
    <w:rPr>
      <w:rFonts w:ascii="Times New Roman" w:hAnsi="Times New Roman" w:eastAsia="宋体" w:cs="Times New Roman"/>
      <w:kern w:val="2"/>
      <w:sz w:val="18"/>
      <w:szCs w:val="18"/>
    </w:rPr>
  </w:style>
  <w:style w:type="character" w:customStyle="1" w:styleId="28">
    <w:name w:val="正文文本首行缩进 2 字符"/>
    <w:basedOn w:val="22"/>
    <w:link w:val="13"/>
    <w:qFormat/>
    <w:uiPriority w:val="0"/>
    <w:rPr>
      <w:rFonts w:ascii="Times New Roman" w:hAnsi="Times New Roman" w:eastAsia="宋体" w:cs="Times New Roman"/>
      <w:kern w:val="2"/>
      <w:sz w:val="21"/>
      <w:szCs w:val="24"/>
    </w:rPr>
  </w:style>
  <w:style w:type="character" w:customStyle="1" w:styleId="29">
    <w:name w:val="批注文字 Char1"/>
    <w:autoRedefine/>
    <w:qFormat/>
    <w:uiPriority w:val="0"/>
    <w:rPr>
      <w:kern w:val="2"/>
      <w:sz w:val="21"/>
      <w:szCs w:val="24"/>
    </w:rPr>
  </w:style>
  <w:style w:type="paragraph" w:customStyle="1" w:styleId="30">
    <w:name w:val="密级"/>
    <w:basedOn w:val="1"/>
    <w:autoRedefine/>
    <w:qFormat/>
    <w:uiPriority w:val="0"/>
    <w:pPr>
      <w:autoSpaceDE w:val="0"/>
      <w:autoSpaceDN w:val="0"/>
      <w:adjustRightInd w:val="0"/>
      <w:snapToGrid w:val="0"/>
      <w:spacing w:line="440" w:lineRule="atLeast"/>
      <w:ind w:firstLine="0" w:firstLineChars="0"/>
      <w:jc w:val="right"/>
    </w:pPr>
    <w:rPr>
      <w:rFonts w:ascii="黑体" w:eastAsia="黑体" w:cs="Times New Roman"/>
      <w:snapToGrid w:val="0"/>
      <w:color w:val="auto"/>
      <w:sz w:val="30"/>
      <w:szCs w:val="20"/>
    </w:rPr>
  </w:style>
  <w:style w:type="paragraph" w:styleId="31">
    <w:name w:val="List Paragraph"/>
    <w:basedOn w:val="1"/>
    <w:qFormat/>
    <w:uiPriority w:val="34"/>
    <w:pPr>
      <w:spacing w:line="240" w:lineRule="auto"/>
      <w:ind w:firstLine="420"/>
    </w:pPr>
    <w:rPr>
      <w:rFonts w:eastAsia="宋体" w:cs="Times New Roman"/>
      <w:color w:val="auto"/>
      <w:kern w:val="2"/>
      <w:sz w:val="21"/>
      <w:szCs w:val="24"/>
    </w:rPr>
  </w:style>
  <w:style w:type="paragraph" w:customStyle="1" w:styleId="32">
    <w:name w:val="线型"/>
    <w:basedOn w:val="1"/>
    <w:qFormat/>
    <w:uiPriority w:val="0"/>
    <w:pPr>
      <w:autoSpaceDE w:val="0"/>
      <w:autoSpaceDN w:val="0"/>
      <w:adjustRightInd w:val="0"/>
      <w:spacing w:line="240" w:lineRule="auto"/>
      <w:ind w:right="357" w:firstLine="0" w:firstLineChars="0"/>
      <w:jc w:val="center"/>
    </w:pPr>
    <w:rPr>
      <w:rFonts w:eastAsia="方正仿宋_GBK" w:cs="Times New Roman"/>
      <w:snapToGrid w:val="0"/>
      <w:color w:val="auto"/>
      <w:sz w:val="21"/>
      <w:szCs w:val="20"/>
    </w:rPr>
  </w:style>
  <w:style w:type="paragraph" w:customStyle="1" w:styleId="33">
    <w:name w:val="附件栏"/>
    <w:basedOn w:val="1"/>
    <w:autoRedefine/>
    <w:qFormat/>
    <w:uiPriority w:val="0"/>
    <w:pPr>
      <w:autoSpaceDE w:val="0"/>
      <w:autoSpaceDN w:val="0"/>
      <w:snapToGrid w:val="0"/>
      <w:spacing w:line="590" w:lineRule="atLeast"/>
      <w:ind w:firstLine="624" w:firstLineChars="0"/>
    </w:pPr>
    <w:rPr>
      <w:rFonts w:eastAsia="方正仿宋_GBK" w:cs="Times New Roman"/>
      <w:snapToGrid w:val="0"/>
      <w:color w:val="auto"/>
      <w:szCs w:val="20"/>
    </w:rPr>
  </w:style>
  <w:style w:type="paragraph" w:customStyle="1" w:styleId="34">
    <w:name w:val="标题1"/>
    <w:basedOn w:val="1"/>
    <w:next w:val="1"/>
    <w:qFormat/>
    <w:uiPriority w:val="0"/>
    <w:pPr>
      <w:tabs>
        <w:tab w:val="left" w:pos="9193"/>
        <w:tab w:val="left" w:pos="9827"/>
      </w:tabs>
      <w:autoSpaceDE w:val="0"/>
      <w:autoSpaceDN w:val="0"/>
      <w:snapToGrid w:val="0"/>
      <w:spacing w:line="700" w:lineRule="atLeast"/>
      <w:ind w:firstLine="0" w:firstLineChars="0"/>
      <w:jc w:val="center"/>
    </w:pPr>
    <w:rPr>
      <w:rFonts w:eastAsia="方正小标宋_GBK" w:cs="Times New Roman"/>
      <w:color w:val="auto"/>
      <w:kern w:val="2"/>
      <w:sz w:val="44"/>
      <w:szCs w:val="20"/>
    </w:rPr>
  </w:style>
  <w:style w:type="paragraph" w:customStyle="1" w:styleId="35">
    <w:name w:val="标题2"/>
    <w:basedOn w:val="1"/>
    <w:next w:val="1"/>
    <w:qFormat/>
    <w:uiPriority w:val="0"/>
    <w:pPr>
      <w:autoSpaceDE w:val="0"/>
      <w:autoSpaceDN w:val="0"/>
      <w:snapToGrid w:val="0"/>
      <w:spacing w:line="590" w:lineRule="atLeast"/>
      <w:ind w:firstLine="0" w:firstLineChars="0"/>
      <w:jc w:val="center"/>
    </w:pPr>
    <w:rPr>
      <w:rFonts w:eastAsia="方正楷体_GBK" w:cs="Times New Roman"/>
      <w:snapToGrid w:val="0"/>
      <w:color w:val="auto"/>
      <w:szCs w:val="20"/>
    </w:rPr>
  </w:style>
  <w:style w:type="character" w:customStyle="1" w:styleId="36">
    <w:name w:val="NormalCharacter"/>
    <w:autoRedefine/>
    <w:qFormat/>
    <w:uiPriority w:val="0"/>
  </w:style>
  <w:style w:type="paragraph" w:customStyle="1" w:styleId="37">
    <w:name w:val="Table Paragraph"/>
    <w:basedOn w:val="1"/>
    <w:qFormat/>
    <w:uiPriority w:val="1"/>
    <w:pPr>
      <w:spacing w:line="240" w:lineRule="auto"/>
      <w:ind w:firstLine="0" w:firstLineChars="0"/>
    </w:pPr>
    <w:rPr>
      <w:rFonts w:eastAsia="宋体" w:cs="Times New Roman"/>
      <w:color w:val="auto"/>
      <w:kern w:val="2"/>
      <w:sz w:val="21"/>
      <w:szCs w:val="24"/>
    </w:rPr>
  </w:style>
  <w:style w:type="table" w:customStyle="1" w:styleId="38">
    <w:name w:val="Table Normal"/>
    <w:semiHidden/>
    <w:unhideWhenUsed/>
    <w:qFormat/>
    <w:uiPriority w:val="2"/>
    <w:tblPr>
      <w:tblCellMar>
        <w:top w:w="0" w:type="dxa"/>
        <w:left w:w="0" w:type="dxa"/>
        <w:bottom w:w="0" w:type="dxa"/>
        <w:right w:w="0" w:type="dxa"/>
      </w:tblCellMar>
    </w:tblPr>
  </w:style>
  <w:style w:type="paragraph" w:customStyle="1" w:styleId="39">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0">
    <w:name w:val="Revision"/>
    <w:hidden/>
    <w:unhideWhenUsed/>
    <w:qFormat/>
    <w:uiPriority w:val="99"/>
    <w:rPr>
      <w:rFonts w:ascii="Times New Roman" w:hAnsi="Times New Roman" w:eastAsia="仿宋_GB2312" w:cs="方正仿宋_GBK"/>
      <w:color w:val="000000"/>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13084</Words>
  <Characters>14087</Characters>
  <Lines>108</Lines>
  <Paragraphs>30</Paragraphs>
  <TotalTime>21</TotalTime>
  <ScaleCrop>false</ScaleCrop>
  <LinksUpToDate>false</LinksUpToDate>
  <CharactersWithSpaces>14093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2024-03-07T03:48:00Z</dcterms:created>
  <dc:creator>Administrator</dc:creator>
  <cp:lastModifiedBy>Administrator</cp:lastModifiedBy>
  <cp:lastPrinted>2024-03-21T18:09:00Z</cp:lastPrinted>
  <dcterms:modified xsi:type="dcterms:W3CDTF">2024-04-19T06:29:40Z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D8160C858147402D8FE5E1C1D8A956F9_13</vt:lpwstr>
  </property>
</Properties>
</file>