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100" w:line="1160" w:lineRule="exact"/>
        <w:ind w:left="170" w:right="170"/>
        <w:rPr>
          <w:rFonts w:ascii="Arial Unicode MS" w:eastAsia="Arial Unicode MS"/>
          <w:spacing w:val="0"/>
          <w:w w:val="70"/>
          <w:sz w:val="110"/>
          <w:szCs w:val="110"/>
        </w:rPr>
      </w:pPr>
      <w:r>
        <w:rPr>
          <w:rFonts w:hint="eastAsia" w:ascii="Arial Unicode MS" w:eastAsia="Arial Unicode MS"/>
          <w:spacing w:val="0"/>
          <w:w w:val="70"/>
          <w:sz w:val="110"/>
          <w:szCs w:val="110"/>
        </w:rPr>
        <w:t>常州市知识产权局</w:t>
      </w:r>
    </w:p>
    <w:p>
      <w:pPr>
        <w:pStyle w:val="14"/>
        <w:spacing w:after="0" w:line="720" w:lineRule="exact"/>
        <w:rPr>
          <w:rFonts w:ascii="Arial Unicode MS" w:eastAsia="Arial Unicode MS" w:cs="Arial Unicode MS"/>
          <w:w w:val="93"/>
          <w:sz w:val="44"/>
          <w:szCs w:val="44"/>
        </w:rPr>
      </w:pPr>
      <w:r>
        <w:rPr>
          <w:rFonts w:ascii="Arial Unicode MS" w:eastAsia="Arial Unicode MS"/>
          <w:snapToGrid/>
          <w:sz w:val="110"/>
          <w:szCs w:val="110"/>
          <w:lang w:bidi="mn-Mong-CN"/>
        </w:rPr>
        <w:pict>
          <v:line id="_x0000_s1029" o:spid="_x0000_s1029" o:spt="20" style="position:absolute;left:0pt;margin-left:-2.15pt;margin-top:5.5pt;height:0pt;width:448.35pt;mso-wrap-distance-bottom:0pt;mso-wrap-distance-left:9pt;mso-wrap-distance-right:9pt;mso-wrap-distance-top:0pt;z-index:251659264;mso-width-relative:page;mso-height-relative:page;" stroked="t" coordsize="21600,21600" o:gfxdata="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6t/1&#10;1wAAAAgBAAAPAAAAAAAAAAEAIAAAACIAAABkcnMvZG93bnJldi54bWxQSwECFAAUAAAACACHTuJA&#10;CNXSHukBAAC5AwAADgAAAAAAAAABACAAAAAmAQAAZHJzL2Uyb0RvYy54bWxQSwUGAAAAAAYABgBZ&#10;AQAAgQUAAAAA&#10;">
            <v:path arrowok="t"/>
            <v:fill focussize="0,0"/>
            <v:stroke weight="2.5pt" color="#FF0000"/>
            <v:imagedata o:title=""/>
            <o:lock v:ext="edit"/>
            <w10:wrap type="square"/>
          </v:line>
        </w:pict>
      </w:r>
    </w:p>
    <w:p>
      <w:pPr>
        <w:spacing w:beforeLines="100" w:line="570" w:lineRule="exact"/>
        <w:jc w:val="center"/>
        <w:rPr>
          <w:rFonts w:ascii="Arial Unicode MS" w:hAnsi="华文仿宋" w:eastAsia="Arial Unicode MS"/>
          <w:sz w:val="44"/>
          <w:szCs w:val="44"/>
        </w:rPr>
      </w:pPr>
      <w:r>
        <w:rPr>
          <w:rFonts w:hint="eastAsia" w:ascii="Arial Unicode MS" w:hAnsi="华文仿宋" w:eastAsia="Arial Unicode MS"/>
          <w:sz w:val="44"/>
          <w:szCs w:val="44"/>
        </w:rPr>
        <w:t>关于举办202</w:t>
      </w:r>
      <w:r>
        <w:rPr>
          <w:rFonts w:hint="eastAsia" w:ascii="Arial Unicode MS" w:hAnsi="华文仿宋" w:eastAsia="Arial Unicode MS"/>
          <w:sz w:val="44"/>
          <w:szCs w:val="44"/>
          <w:lang w:val="en-US" w:eastAsia="zh-CN"/>
        </w:rPr>
        <w:t>4</w:t>
      </w:r>
      <w:r>
        <w:rPr>
          <w:rFonts w:hint="eastAsia" w:ascii="Arial Unicode MS" w:hAnsi="华文仿宋" w:eastAsia="Arial Unicode MS"/>
          <w:sz w:val="44"/>
          <w:szCs w:val="44"/>
        </w:rPr>
        <w:t>年常州市</w:t>
      </w:r>
      <w:r>
        <w:rPr>
          <w:rFonts w:hint="eastAsia" w:ascii="Arial Unicode MS" w:hAnsi="华文仿宋" w:eastAsia="Arial Unicode MS"/>
          <w:sz w:val="44"/>
          <w:szCs w:val="44"/>
          <w:lang w:val="en-US" w:eastAsia="zh-CN"/>
        </w:rPr>
        <w:t>专利导航实务</w:t>
      </w:r>
      <w:r>
        <w:rPr>
          <w:rFonts w:hint="eastAsia" w:ascii="Arial Unicode MS" w:hAnsi="华文仿宋" w:eastAsia="Arial Unicode MS"/>
          <w:sz w:val="44"/>
          <w:szCs w:val="44"/>
        </w:rPr>
        <w:t>培训班的通知</w:t>
      </w: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各辖市、区知识产权局，常州经开区知识产权局，各有关单位:</w:t>
      </w:r>
    </w:p>
    <w:p>
      <w:pPr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促进产业高质量发展，提高专利导航产业创新发展的质量效益，构建专利导航人才队伍，推动专利导航指南国家标准推广应用，根据《关于开展2024年常州市“启明星”知识产权人才培养行动的通知》,常州市知识产权局定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专利导航实务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培训班。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现将有关事项通知如下：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一、培训时间</w:t>
      </w:r>
    </w:p>
    <w:p>
      <w:pPr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二、培训地点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常州市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明都大饭店4楼阳光</w:t>
      </w:r>
      <w:r>
        <w:rPr>
          <w:rFonts w:hint="eastAsia" w:ascii="仿宋_GB2312" w:eastAsia="仿宋_GB2312"/>
          <w:color w:val="auto"/>
          <w:sz w:val="32"/>
          <w:szCs w:val="32"/>
        </w:rPr>
        <w:t>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（和平北路258号）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三</w:t>
      </w:r>
      <w:r>
        <w:rPr>
          <w:rFonts w:ascii="黑体" w:hAnsi="黑体" w:eastAsia="黑体" w:cs="经典黑体简"/>
          <w:sz w:val="32"/>
          <w:szCs w:val="32"/>
        </w:rPr>
        <w:t>、培训内容</w:t>
      </w:r>
    </w:p>
    <w:p>
      <w:pPr>
        <w:snapToGrid w:val="0"/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培训内容见附件1课程表。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四、培训组织</w:t>
      </w:r>
    </w:p>
    <w:p>
      <w:pPr>
        <w:pStyle w:val="11"/>
        <w:spacing w:before="0" w:beforeAutospacing="0" w:after="0" w:afterAutospacing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主办单位：常州市知识产权局</w:t>
      </w:r>
    </w:p>
    <w:p>
      <w:pPr>
        <w:pStyle w:val="11"/>
        <w:spacing w:before="0" w:beforeAutospacing="0" w:after="0" w:afterAutospacing="0" w:line="570" w:lineRule="exact"/>
        <w:ind w:left="638" w:leftChars="304" w:firstLine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承办单位：常州市知识产权保护中心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国家级专利导航服务基地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）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五</w:t>
      </w:r>
      <w:r>
        <w:rPr>
          <w:rFonts w:ascii="黑体" w:hAnsi="黑体" w:eastAsia="黑体" w:cs="经典黑体简"/>
          <w:sz w:val="32"/>
          <w:szCs w:val="32"/>
        </w:rPr>
        <w:t>、培训对象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“专精特新”企业、高新技术企业、创新型领军企业、上市培育企业知识产权管理人员和研发人员、专利导航服务机构人员、辖市（区）知识产权局业务人员。</w:t>
      </w:r>
    </w:p>
    <w:p>
      <w:pPr>
        <w:snapToGrid w:val="0"/>
        <w:spacing w:line="570" w:lineRule="exact"/>
        <w:ind w:firstLine="640" w:firstLineChars="200"/>
        <w:rPr>
          <w:rFonts w:ascii="黑体" w:hAnsi="黑体" w:eastAsia="黑体" w:cs="经典黑体简"/>
          <w:sz w:val="32"/>
          <w:szCs w:val="32"/>
        </w:rPr>
      </w:pPr>
      <w:r>
        <w:rPr>
          <w:rFonts w:hint="eastAsia" w:ascii="黑体" w:hAnsi="黑体" w:eastAsia="黑体" w:cs="经典黑体简"/>
          <w:sz w:val="32"/>
          <w:szCs w:val="32"/>
        </w:rPr>
        <w:t>六、报名方式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请各辖市、区和常州经开区知识产权局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按通知要求组织本区域内的相关企业派员参训，各相关企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日中午前向所在地辖市区知识产权局报名。请各辖市区知识产权局于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日下午前将</w:t>
      </w:r>
      <w:r>
        <w:rPr>
          <w:rFonts w:hint="eastAsia" w:ascii="仿宋_GB2312" w:hAnsi="仿宋_GB2312" w:eastAsia="仿宋_GB2312" w:cs="仿宋_GB2312"/>
          <w:sz w:val="32"/>
          <w:szCs w:val="32"/>
        </w:rPr>
        <w:t>本辖市区参会人员名单按附件2的格式汇总报至市知识产权保护中心。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联系方式如下：</w:t>
      </w:r>
    </w:p>
    <w:tbl>
      <w:tblPr>
        <w:tblStyle w:val="6"/>
        <w:tblW w:w="7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  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 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溧阳市知识产权局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80998870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596418380@qq.com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金坛区知识产权局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82299036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1002680047@qq.com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武进区知识产权局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86318139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1172924095@qq.com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新北区知识产权局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85178985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292245670@qq.com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天宁区知识产权局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69661537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395372152@qq.com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钟楼区知识产权局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88891781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443406662@qq.com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常州经开区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知识产权局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89863376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542478624@qq.com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常州市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知识产权局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88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588190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46057909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常州市知识产权保护中心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88010801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903964915@qq.com</w:t>
            </w:r>
          </w:p>
        </w:tc>
      </w:tr>
    </w:tbl>
    <w:p>
      <w:pPr>
        <w:pStyle w:val="11"/>
        <w:spacing w:before="0" w:beforeAutospacing="0" w:after="0" w:afterAutospacing="0" w:line="57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七、其他事项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（一）本次培训班免收培训费，统一安排午餐，溧阳、金坛的学员免费提供住宿；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（二）培训期间不迟到、不早退，实行签到制。</w:t>
      </w:r>
    </w:p>
    <w:p>
      <w:pPr>
        <w:pStyle w:val="11"/>
        <w:spacing w:before="0" w:beforeAutospacing="0" w:after="0" w:afterAutospacing="0" w:line="540" w:lineRule="exact"/>
        <w:ind w:firstLine="620" w:firstLineChars="19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（三）请参训学员在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日17:00前将此次培训学习心得发送至邮箱903964915@qq.com，发送邮箱时备注好学员姓名、单位名称。学习心得内容不限、形式不限，字数1000字左右，考勤合格和上传学习心得的学员颁发《培训证书》。</w:t>
      </w:r>
    </w:p>
    <w:p>
      <w:pPr>
        <w:spacing w:line="570" w:lineRule="exact"/>
        <w:ind w:left="1598" w:leftChars="304" w:hanging="960" w:hangingChars="300"/>
        <w:rPr>
          <w:rFonts w:ascii="仿宋" w:hAnsi="仿宋" w:eastAsia="仿宋" w:cs="仿宋"/>
          <w:sz w:val="32"/>
          <w:szCs w:val="32"/>
        </w:rPr>
      </w:pPr>
    </w:p>
    <w:p>
      <w:pPr>
        <w:pStyle w:val="11"/>
        <w:spacing w:before="0" w:beforeAutospacing="0" w:after="0" w:afterAutospacing="0" w:line="570" w:lineRule="exact"/>
        <w:ind w:left="1600" w:hanging="1600" w:hanging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附件：1．202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年常州市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专利导航实务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培训班课程表     </w:t>
      </w:r>
    </w:p>
    <w:p>
      <w:pPr>
        <w:pStyle w:val="11"/>
        <w:spacing w:before="0" w:beforeAutospacing="0" w:after="0" w:afterAutospacing="0" w:line="570" w:lineRule="exact"/>
        <w:ind w:left="1596" w:leftChars="76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年常州市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专利导航实务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培训班报名表     </w:t>
      </w:r>
    </w:p>
    <w:p>
      <w:pPr>
        <w:pStyle w:val="11"/>
        <w:spacing w:before="0" w:beforeAutospacing="0" w:after="0" w:afterAutospacing="0" w:line="570" w:lineRule="exact"/>
        <w:ind w:left="887" w:leftChars="194" w:hanging="480" w:hangingChars="15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1"/>
        <w:spacing w:before="0" w:beforeAutospacing="0" w:after="0" w:afterAutospacing="0" w:line="570" w:lineRule="exact"/>
        <w:ind w:firstLine="6057" w:firstLineChars="1893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常州市知识产权局</w:t>
      </w:r>
    </w:p>
    <w:p>
      <w:pPr>
        <w:pStyle w:val="11"/>
        <w:spacing w:before="0" w:beforeAutospacing="0" w:after="0" w:afterAutospacing="0" w:line="570" w:lineRule="exact"/>
        <w:ind w:firstLine="6057" w:firstLineChars="189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11"/>
        <w:spacing w:before="0" w:beforeAutospacing="0" w:after="0" w:afterAutospacing="0" w:line="570" w:lineRule="exact"/>
        <w:ind w:firstLine="6057" w:firstLineChars="1893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p>
      <w:pPr>
        <w:widowControl/>
        <w:spacing w:line="570" w:lineRule="exact"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70" w:lineRule="exact"/>
        <w:jc w:val="center"/>
        <w:rPr>
          <w:rFonts w:ascii="黑体" w:hAnsi="微软雅黑" w:eastAsia="黑体"/>
          <w:sz w:val="36"/>
          <w:szCs w:val="36"/>
        </w:rPr>
      </w:pPr>
      <w:r>
        <w:rPr>
          <w:rFonts w:hint="eastAsia" w:ascii="黑体" w:hAnsi="微软雅黑" w:eastAsia="黑体"/>
          <w:sz w:val="36"/>
          <w:szCs w:val="36"/>
        </w:rPr>
        <w:t>202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微软雅黑" w:eastAsia="黑体"/>
          <w:sz w:val="36"/>
          <w:szCs w:val="36"/>
        </w:rPr>
        <w:t>年常州市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专利导航实务</w:t>
      </w:r>
      <w:r>
        <w:rPr>
          <w:rFonts w:hint="eastAsia" w:ascii="黑体" w:hAnsi="微软雅黑" w:eastAsia="黑体"/>
          <w:sz w:val="36"/>
          <w:szCs w:val="36"/>
        </w:rPr>
        <w:t>培训班课程表</w:t>
      </w:r>
    </w:p>
    <w:tbl>
      <w:tblPr>
        <w:tblStyle w:val="6"/>
        <w:tblW w:w="100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98"/>
        <w:gridCol w:w="1619"/>
        <w:gridCol w:w="1604"/>
        <w:gridCol w:w="3595"/>
        <w:gridCol w:w="1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 期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  间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课程名称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课程要点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4月2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专利导航标准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解读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专利导航基础介绍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1.专利导航的提出与发展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2.专利导航的基本理论及其特点</w:t>
            </w:r>
          </w:p>
          <w:p>
            <w:pPr>
              <w:spacing w:line="320" w:lineRule="exact"/>
              <w:ind w:left="240" w:hanging="240" w:hanging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3.专利导航标准化历程及标准要点解读</w:t>
            </w:r>
          </w:p>
          <w:p>
            <w:pPr>
              <w:spacing w:line="320" w:lineRule="exact"/>
              <w:ind w:left="240" w:leftChars="0" w:hanging="240" w:hanging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4.专利导航的实践推进与思考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白艳，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华智数创（北京）科技发展有限责任公司专利运营部总监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-12:00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常州市专利强链计划政策解读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240" w:leftChars="0" w:hanging="240" w:hanging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年度市专利强链计划扶持政策内容和兑现流程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13:30-16:30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专利导航的产业调研、数据检索及可视化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1.专利导航的产业调研方法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2.产业技术分解方法</w:t>
            </w:r>
          </w:p>
          <w:p>
            <w:pPr>
              <w:spacing w:line="320" w:lineRule="exact"/>
              <w:ind w:left="240" w:hanging="240" w:hanging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3.数据检索策略及验证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4.数据去噪和数据处理方法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5.数据可视化基础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6.专利导航图谱设计策略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陈宇超，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华智数创（北京）科技发展有限责任公司总经理助理、项目管理部总监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4月2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9:00-12:00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研发活动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区域规划类专利导航典型案例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40" w:hanging="240" w:hanging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.研发活动类专利导航标准解读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.研发活动类专利导航典型案例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.区域规划类专利导航标准解读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.区域规划类专利导航典型案例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白艳，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华智数创（北京）科技发展有限责任公司专利运营部总监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13:30-16:30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企业经营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产业规划类专利导航典型案例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40" w:hanging="240" w:hanging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.企业经营类专利导航标准解读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.企业经营类专利导航典型案例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.产业规划类专利导航标准解读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.产业规划类专利导航典型案例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陈宇超，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华智数创（北京）科技发展有限责任公司总经理助理、项目管理部总监</w:t>
            </w:r>
          </w:p>
        </w:tc>
      </w:tr>
    </w:tbl>
    <w:p>
      <w:pPr>
        <w:spacing w:line="570" w:lineRule="exac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注：此课程表仅供参考，后期根据专家安排略有调整，具体以培训通知为准。</w:t>
      </w:r>
    </w:p>
    <w:p>
      <w:pPr>
        <w:widowControl/>
        <w:spacing w:line="57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spacing w:line="57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70" w:lineRule="exact"/>
        <w:jc w:val="center"/>
        <w:rPr>
          <w:rFonts w:ascii="黑体" w:hAnsi="微软雅黑" w:eastAsia="黑体"/>
          <w:sz w:val="36"/>
          <w:szCs w:val="36"/>
        </w:rPr>
      </w:pPr>
      <w:r>
        <w:rPr>
          <w:rFonts w:hint="eastAsia" w:ascii="黑体" w:hAnsi="微软雅黑" w:eastAsia="黑体"/>
          <w:sz w:val="36"/>
          <w:szCs w:val="36"/>
        </w:rPr>
        <w:t>202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微软雅黑" w:eastAsia="黑体"/>
          <w:sz w:val="36"/>
          <w:szCs w:val="36"/>
        </w:rPr>
        <w:t>年常州市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专利导航实务</w:t>
      </w:r>
      <w:r>
        <w:rPr>
          <w:rFonts w:hint="eastAsia" w:ascii="黑体" w:hAnsi="微软雅黑" w:eastAsia="黑体"/>
          <w:sz w:val="36"/>
          <w:szCs w:val="36"/>
        </w:rPr>
        <w:t>培训班报名表</w:t>
      </w:r>
    </w:p>
    <w:tbl>
      <w:tblPr>
        <w:tblStyle w:val="6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750"/>
        <w:gridCol w:w="790"/>
        <w:gridCol w:w="1201"/>
        <w:gridCol w:w="996"/>
        <w:gridCol w:w="1180"/>
        <w:gridCol w:w="163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6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79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9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手机号码</w:t>
            </w:r>
          </w:p>
        </w:tc>
        <w:tc>
          <w:tcPr>
            <w:tcW w:w="16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所在辖市（区）</w:t>
            </w:r>
          </w:p>
        </w:tc>
        <w:tc>
          <w:tcPr>
            <w:tcW w:w="16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是否住宿（若住宿请填写身份证号码）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3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3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3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3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63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spacing w:line="57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641229-3B93-45C5-AE59-5EAEF9A133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鼎简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40B72B2-C542-4DAF-9D6F-27B8B16FA1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C9050CC-E62A-4696-8EB9-6C186F8714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9C5868F-B915-4ED6-B918-B98FD7076E97}"/>
  </w:font>
  <w:font w:name="经典黑体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  <w:embedRegular r:id="rId5" w:fontKey="{AA71CEB8-FD2C-4D12-9406-263D2A16EB3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DE1D47B-33C4-4D1D-9232-68B1A877A2C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A075FC4B-6A3F-4172-8C65-BCF7F06C9DE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2570173F-A2CC-4D9C-A307-241F8046B5A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9" w:fontKey="{142BBB9E-0772-41F7-8AEB-592E123E4F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4" o:spid="_x0000_s3073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Db6k64BAABLAwAADgAAAGRycy9lMm9Eb2MueG1srVNLbtswEN0XyB0I&#10;7msqRhE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0NvqT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ExMTQzMTEwZDdlODBjMTQwYzRlYWZmYTM3NTVjZTEifQ=="/>
  </w:docVars>
  <w:rsids>
    <w:rsidRoot w:val="00961C38"/>
    <w:rsid w:val="00003089"/>
    <w:rsid w:val="00004C89"/>
    <w:rsid w:val="00041859"/>
    <w:rsid w:val="00042908"/>
    <w:rsid w:val="00047C0F"/>
    <w:rsid w:val="00050DD3"/>
    <w:rsid w:val="000556B3"/>
    <w:rsid w:val="000701C4"/>
    <w:rsid w:val="0007545C"/>
    <w:rsid w:val="000923F7"/>
    <w:rsid w:val="000A007D"/>
    <w:rsid w:val="000A063D"/>
    <w:rsid w:val="000B560B"/>
    <w:rsid w:val="000B5D1E"/>
    <w:rsid w:val="000F405B"/>
    <w:rsid w:val="00100F6D"/>
    <w:rsid w:val="001026A9"/>
    <w:rsid w:val="0012762F"/>
    <w:rsid w:val="0014111C"/>
    <w:rsid w:val="00170C55"/>
    <w:rsid w:val="001776C4"/>
    <w:rsid w:val="001815C6"/>
    <w:rsid w:val="00184B99"/>
    <w:rsid w:val="00197B01"/>
    <w:rsid w:val="001A659A"/>
    <w:rsid w:val="001B6B02"/>
    <w:rsid w:val="001C4399"/>
    <w:rsid w:val="001F144D"/>
    <w:rsid w:val="00204A69"/>
    <w:rsid w:val="00213FB9"/>
    <w:rsid w:val="00214CE3"/>
    <w:rsid w:val="002170C2"/>
    <w:rsid w:val="002213AF"/>
    <w:rsid w:val="00223686"/>
    <w:rsid w:val="00224421"/>
    <w:rsid w:val="0023444C"/>
    <w:rsid w:val="00242513"/>
    <w:rsid w:val="00270473"/>
    <w:rsid w:val="00290657"/>
    <w:rsid w:val="0029147D"/>
    <w:rsid w:val="002A081E"/>
    <w:rsid w:val="002B1217"/>
    <w:rsid w:val="002B7BC7"/>
    <w:rsid w:val="002C660A"/>
    <w:rsid w:val="002D0DFB"/>
    <w:rsid w:val="002D4D3D"/>
    <w:rsid w:val="002D73C3"/>
    <w:rsid w:val="002E03C4"/>
    <w:rsid w:val="002E2DEF"/>
    <w:rsid w:val="002E2F98"/>
    <w:rsid w:val="002F3D4D"/>
    <w:rsid w:val="00316D12"/>
    <w:rsid w:val="003231AD"/>
    <w:rsid w:val="00323554"/>
    <w:rsid w:val="00342BE2"/>
    <w:rsid w:val="0035218C"/>
    <w:rsid w:val="00370237"/>
    <w:rsid w:val="003A43C4"/>
    <w:rsid w:val="003B58DE"/>
    <w:rsid w:val="003C4F88"/>
    <w:rsid w:val="003E0423"/>
    <w:rsid w:val="003E43B5"/>
    <w:rsid w:val="003E49D3"/>
    <w:rsid w:val="00402A6C"/>
    <w:rsid w:val="00435B64"/>
    <w:rsid w:val="00436C18"/>
    <w:rsid w:val="00437F13"/>
    <w:rsid w:val="00441B38"/>
    <w:rsid w:val="00471CB7"/>
    <w:rsid w:val="004740DF"/>
    <w:rsid w:val="004A6170"/>
    <w:rsid w:val="004B6A7B"/>
    <w:rsid w:val="004E60E6"/>
    <w:rsid w:val="004F5B15"/>
    <w:rsid w:val="00501B2F"/>
    <w:rsid w:val="0050209D"/>
    <w:rsid w:val="00502117"/>
    <w:rsid w:val="0050221E"/>
    <w:rsid w:val="005064FA"/>
    <w:rsid w:val="00512569"/>
    <w:rsid w:val="0051721B"/>
    <w:rsid w:val="005223B8"/>
    <w:rsid w:val="005271D4"/>
    <w:rsid w:val="00536B9A"/>
    <w:rsid w:val="00546EBD"/>
    <w:rsid w:val="00551984"/>
    <w:rsid w:val="00564D5D"/>
    <w:rsid w:val="005704DD"/>
    <w:rsid w:val="00580417"/>
    <w:rsid w:val="00591EC5"/>
    <w:rsid w:val="005B14DC"/>
    <w:rsid w:val="005C4D2E"/>
    <w:rsid w:val="005C6C1B"/>
    <w:rsid w:val="005D3B68"/>
    <w:rsid w:val="005E59E9"/>
    <w:rsid w:val="005E64F1"/>
    <w:rsid w:val="005E745F"/>
    <w:rsid w:val="00612665"/>
    <w:rsid w:val="00612C25"/>
    <w:rsid w:val="0061420B"/>
    <w:rsid w:val="006179D3"/>
    <w:rsid w:val="006208FE"/>
    <w:rsid w:val="00625357"/>
    <w:rsid w:val="00641119"/>
    <w:rsid w:val="00653D43"/>
    <w:rsid w:val="006602F3"/>
    <w:rsid w:val="006611A2"/>
    <w:rsid w:val="0069185F"/>
    <w:rsid w:val="00693927"/>
    <w:rsid w:val="006949A9"/>
    <w:rsid w:val="006A2464"/>
    <w:rsid w:val="006E1E0B"/>
    <w:rsid w:val="006E6159"/>
    <w:rsid w:val="006F0B35"/>
    <w:rsid w:val="006F0D14"/>
    <w:rsid w:val="00710864"/>
    <w:rsid w:val="00736228"/>
    <w:rsid w:val="007410A0"/>
    <w:rsid w:val="00747011"/>
    <w:rsid w:val="00762661"/>
    <w:rsid w:val="0076533F"/>
    <w:rsid w:val="0076708D"/>
    <w:rsid w:val="00772DDB"/>
    <w:rsid w:val="007C25C4"/>
    <w:rsid w:val="007C28F2"/>
    <w:rsid w:val="007F026C"/>
    <w:rsid w:val="007F7951"/>
    <w:rsid w:val="00806667"/>
    <w:rsid w:val="0081711B"/>
    <w:rsid w:val="00833D8A"/>
    <w:rsid w:val="008400DC"/>
    <w:rsid w:val="00857B58"/>
    <w:rsid w:val="008649D8"/>
    <w:rsid w:val="008735A7"/>
    <w:rsid w:val="0087778D"/>
    <w:rsid w:val="008A4E8B"/>
    <w:rsid w:val="008A72CA"/>
    <w:rsid w:val="008B0AA9"/>
    <w:rsid w:val="008B5B8E"/>
    <w:rsid w:val="008E5452"/>
    <w:rsid w:val="00910089"/>
    <w:rsid w:val="00961C38"/>
    <w:rsid w:val="0097133B"/>
    <w:rsid w:val="00981797"/>
    <w:rsid w:val="009A0C36"/>
    <w:rsid w:val="009A5218"/>
    <w:rsid w:val="009B0452"/>
    <w:rsid w:val="009F47DB"/>
    <w:rsid w:val="009F620C"/>
    <w:rsid w:val="00A01760"/>
    <w:rsid w:val="00A03B2B"/>
    <w:rsid w:val="00A2730D"/>
    <w:rsid w:val="00A27978"/>
    <w:rsid w:val="00A441F8"/>
    <w:rsid w:val="00A535C9"/>
    <w:rsid w:val="00A56273"/>
    <w:rsid w:val="00A659D0"/>
    <w:rsid w:val="00A710A2"/>
    <w:rsid w:val="00A80AB1"/>
    <w:rsid w:val="00A935BA"/>
    <w:rsid w:val="00AA3ED1"/>
    <w:rsid w:val="00AC1117"/>
    <w:rsid w:val="00AD658A"/>
    <w:rsid w:val="00AE0FE2"/>
    <w:rsid w:val="00AF4305"/>
    <w:rsid w:val="00B36B07"/>
    <w:rsid w:val="00B56E06"/>
    <w:rsid w:val="00B9308E"/>
    <w:rsid w:val="00BA5FD3"/>
    <w:rsid w:val="00BA75FA"/>
    <w:rsid w:val="00BB5133"/>
    <w:rsid w:val="00BC0BCE"/>
    <w:rsid w:val="00BE059E"/>
    <w:rsid w:val="00BE6289"/>
    <w:rsid w:val="00BF185C"/>
    <w:rsid w:val="00BF622C"/>
    <w:rsid w:val="00C4199D"/>
    <w:rsid w:val="00C51ACD"/>
    <w:rsid w:val="00C56642"/>
    <w:rsid w:val="00C577DC"/>
    <w:rsid w:val="00C83C19"/>
    <w:rsid w:val="00C84761"/>
    <w:rsid w:val="00CA0996"/>
    <w:rsid w:val="00CA3BBE"/>
    <w:rsid w:val="00CA468D"/>
    <w:rsid w:val="00CB490F"/>
    <w:rsid w:val="00CF0CFF"/>
    <w:rsid w:val="00CF44FC"/>
    <w:rsid w:val="00D137C7"/>
    <w:rsid w:val="00D36CD5"/>
    <w:rsid w:val="00D42322"/>
    <w:rsid w:val="00D77A56"/>
    <w:rsid w:val="00D84195"/>
    <w:rsid w:val="00D8723E"/>
    <w:rsid w:val="00D90BBF"/>
    <w:rsid w:val="00D91104"/>
    <w:rsid w:val="00DA3AAC"/>
    <w:rsid w:val="00DB4D26"/>
    <w:rsid w:val="00DF0EB2"/>
    <w:rsid w:val="00E15AA2"/>
    <w:rsid w:val="00E16560"/>
    <w:rsid w:val="00E2052A"/>
    <w:rsid w:val="00E32408"/>
    <w:rsid w:val="00E41476"/>
    <w:rsid w:val="00E41CDE"/>
    <w:rsid w:val="00E464A8"/>
    <w:rsid w:val="00E54AF4"/>
    <w:rsid w:val="00E65082"/>
    <w:rsid w:val="00E66F82"/>
    <w:rsid w:val="00E779D2"/>
    <w:rsid w:val="00E90AD4"/>
    <w:rsid w:val="00E91B3A"/>
    <w:rsid w:val="00E94491"/>
    <w:rsid w:val="00EA21B7"/>
    <w:rsid w:val="00EA2EB6"/>
    <w:rsid w:val="00EB2902"/>
    <w:rsid w:val="00EB3171"/>
    <w:rsid w:val="00ED37A1"/>
    <w:rsid w:val="00ED6F72"/>
    <w:rsid w:val="00EE20EB"/>
    <w:rsid w:val="00F01F84"/>
    <w:rsid w:val="00F05663"/>
    <w:rsid w:val="00F27C07"/>
    <w:rsid w:val="00F339A1"/>
    <w:rsid w:val="00F529FD"/>
    <w:rsid w:val="00F60983"/>
    <w:rsid w:val="00F66497"/>
    <w:rsid w:val="00F74014"/>
    <w:rsid w:val="00F96F62"/>
    <w:rsid w:val="00F97632"/>
    <w:rsid w:val="00FA18F5"/>
    <w:rsid w:val="00FB179F"/>
    <w:rsid w:val="00FB261E"/>
    <w:rsid w:val="00FB55A0"/>
    <w:rsid w:val="00FD52B6"/>
    <w:rsid w:val="00FD541A"/>
    <w:rsid w:val="00FE42AA"/>
    <w:rsid w:val="01402C14"/>
    <w:rsid w:val="01865F94"/>
    <w:rsid w:val="01B5103D"/>
    <w:rsid w:val="01E13927"/>
    <w:rsid w:val="02A25161"/>
    <w:rsid w:val="031A5AE2"/>
    <w:rsid w:val="033748AB"/>
    <w:rsid w:val="03A5250F"/>
    <w:rsid w:val="03B60BF9"/>
    <w:rsid w:val="03BF108E"/>
    <w:rsid w:val="03E76A34"/>
    <w:rsid w:val="046E630F"/>
    <w:rsid w:val="047343F5"/>
    <w:rsid w:val="05014FD4"/>
    <w:rsid w:val="056919C6"/>
    <w:rsid w:val="05A23D49"/>
    <w:rsid w:val="05BD6F8F"/>
    <w:rsid w:val="06173801"/>
    <w:rsid w:val="06233134"/>
    <w:rsid w:val="067737DE"/>
    <w:rsid w:val="06CA19B2"/>
    <w:rsid w:val="06D7511F"/>
    <w:rsid w:val="0739256E"/>
    <w:rsid w:val="07546A4E"/>
    <w:rsid w:val="077F1AF9"/>
    <w:rsid w:val="0851742D"/>
    <w:rsid w:val="08CE1B81"/>
    <w:rsid w:val="09AB481F"/>
    <w:rsid w:val="09CB752A"/>
    <w:rsid w:val="0A0C015F"/>
    <w:rsid w:val="0A717628"/>
    <w:rsid w:val="0A750827"/>
    <w:rsid w:val="0A8A467D"/>
    <w:rsid w:val="0A9933E1"/>
    <w:rsid w:val="0AD20464"/>
    <w:rsid w:val="0BFF2C23"/>
    <w:rsid w:val="0C3F7E22"/>
    <w:rsid w:val="0E3E1F17"/>
    <w:rsid w:val="0ED30D9E"/>
    <w:rsid w:val="0F4800F8"/>
    <w:rsid w:val="0F7D25CB"/>
    <w:rsid w:val="0FC26FEF"/>
    <w:rsid w:val="100F31CC"/>
    <w:rsid w:val="1068327B"/>
    <w:rsid w:val="11405FA6"/>
    <w:rsid w:val="11704097"/>
    <w:rsid w:val="11757643"/>
    <w:rsid w:val="11FA43A7"/>
    <w:rsid w:val="12553AEA"/>
    <w:rsid w:val="128259A9"/>
    <w:rsid w:val="12E35557"/>
    <w:rsid w:val="12E9035C"/>
    <w:rsid w:val="130370E1"/>
    <w:rsid w:val="13294F44"/>
    <w:rsid w:val="13706923"/>
    <w:rsid w:val="138521B1"/>
    <w:rsid w:val="138F0B1F"/>
    <w:rsid w:val="13D211FA"/>
    <w:rsid w:val="14292D22"/>
    <w:rsid w:val="14936352"/>
    <w:rsid w:val="157579C3"/>
    <w:rsid w:val="15ED6EB7"/>
    <w:rsid w:val="15FB278A"/>
    <w:rsid w:val="16013F56"/>
    <w:rsid w:val="164E3C95"/>
    <w:rsid w:val="16721902"/>
    <w:rsid w:val="169F1079"/>
    <w:rsid w:val="16B0772A"/>
    <w:rsid w:val="170A508C"/>
    <w:rsid w:val="18001095"/>
    <w:rsid w:val="187072BF"/>
    <w:rsid w:val="188E7EE4"/>
    <w:rsid w:val="18C15C1F"/>
    <w:rsid w:val="18EB331B"/>
    <w:rsid w:val="19CC616A"/>
    <w:rsid w:val="19DA7B5E"/>
    <w:rsid w:val="1A200723"/>
    <w:rsid w:val="1A3B37AF"/>
    <w:rsid w:val="1AD20632"/>
    <w:rsid w:val="1B247C07"/>
    <w:rsid w:val="1B334486"/>
    <w:rsid w:val="1B7C5E2D"/>
    <w:rsid w:val="1C5C6FED"/>
    <w:rsid w:val="1C977C9D"/>
    <w:rsid w:val="1CB57AFA"/>
    <w:rsid w:val="1CC20464"/>
    <w:rsid w:val="1CE43C8A"/>
    <w:rsid w:val="1D485929"/>
    <w:rsid w:val="1D85546D"/>
    <w:rsid w:val="1DC764BC"/>
    <w:rsid w:val="1E5170FD"/>
    <w:rsid w:val="1E794C5E"/>
    <w:rsid w:val="1ED476F7"/>
    <w:rsid w:val="1F3233D2"/>
    <w:rsid w:val="1F8D2032"/>
    <w:rsid w:val="209F4DF2"/>
    <w:rsid w:val="20C8233D"/>
    <w:rsid w:val="2167118E"/>
    <w:rsid w:val="218717BC"/>
    <w:rsid w:val="234B54E0"/>
    <w:rsid w:val="23A9268D"/>
    <w:rsid w:val="24232125"/>
    <w:rsid w:val="244045D8"/>
    <w:rsid w:val="246A53BC"/>
    <w:rsid w:val="24D814A5"/>
    <w:rsid w:val="26BB3CAD"/>
    <w:rsid w:val="26C62652"/>
    <w:rsid w:val="2769195B"/>
    <w:rsid w:val="27F03E2A"/>
    <w:rsid w:val="28017DE6"/>
    <w:rsid w:val="28916DA1"/>
    <w:rsid w:val="28CC5ECF"/>
    <w:rsid w:val="28F657E8"/>
    <w:rsid w:val="29310257"/>
    <w:rsid w:val="29915199"/>
    <w:rsid w:val="29A749BD"/>
    <w:rsid w:val="29C117C0"/>
    <w:rsid w:val="2AF80794"/>
    <w:rsid w:val="2B4315C8"/>
    <w:rsid w:val="2B637A7D"/>
    <w:rsid w:val="2BBD2276"/>
    <w:rsid w:val="2BEA3971"/>
    <w:rsid w:val="2D0B4013"/>
    <w:rsid w:val="2D31399E"/>
    <w:rsid w:val="2D6B7AFA"/>
    <w:rsid w:val="2E5850A2"/>
    <w:rsid w:val="2E625A49"/>
    <w:rsid w:val="2E7336C4"/>
    <w:rsid w:val="2F143221"/>
    <w:rsid w:val="2F641CAA"/>
    <w:rsid w:val="30316C01"/>
    <w:rsid w:val="310B19E4"/>
    <w:rsid w:val="31452ED9"/>
    <w:rsid w:val="31FD58EE"/>
    <w:rsid w:val="320F78C9"/>
    <w:rsid w:val="32586854"/>
    <w:rsid w:val="32C93BA1"/>
    <w:rsid w:val="32E20814"/>
    <w:rsid w:val="3304078A"/>
    <w:rsid w:val="331D4E16"/>
    <w:rsid w:val="33C70493"/>
    <w:rsid w:val="33D00343"/>
    <w:rsid w:val="345C0152"/>
    <w:rsid w:val="3650346F"/>
    <w:rsid w:val="36653C36"/>
    <w:rsid w:val="367332DC"/>
    <w:rsid w:val="367A69B6"/>
    <w:rsid w:val="36D339B4"/>
    <w:rsid w:val="372E2279"/>
    <w:rsid w:val="37ED2803"/>
    <w:rsid w:val="37F608C2"/>
    <w:rsid w:val="393B1D7F"/>
    <w:rsid w:val="394B57D9"/>
    <w:rsid w:val="3A017E0A"/>
    <w:rsid w:val="3A61377A"/>
    <w:rsid w:val="3BE03ACA"/>
    <w:rsid w:val="3DBC0024"/>
    <w:rsid w:val="3DE21966"/>
    <w:rsid w:val="3E3B12E4"/>
    <w:rsid w:val="3F0E11B9"/>
    <w:rsid w:val="3F1C578B"/>
    <w:rsid w:val="3F3F4CD5"/>
    <w:rsid w:val="3F536D21"/>
    <w:rsid w:val="4010076E"/>
    <w:rsid w:val="40391660"/>
    <w:rsid w:val="41AD2959"/>
    <w:rsid w:val="423D31B0"/>
    <w:rsid w:val="4253528A"/>
    <w:rsid w:val="42D57B19"/>
    <w:rsid w:val="43607C5E"/>
    <w:rsid w:val="438003D7"/>
    <w:rsid w:val="43B8276E"/>
    <w:rsid w:val="44633292"/>
    <w:rsid w:val="44C447AB"/>
    <w:rsid w:val="456F4189"/>
    <w:rsid w:val="45C2748B"/>
    <w:rsid w:val="47077755"/>
    <w:rsid w:val="478B1F0D"/>
    <w:rsid w:val="479F02FF"/>
    <w:rsid w:val="486C49B0"/>
    <w:rsid w:val="48D367DD"/>
    <w:rsid w:val="48EB7FCA"/>
    <w:rsid w:val="49C81917"/>
    <w:rsid w:val="4A261F77"/>
    <w:rsid w:val="4A474358"/>
    <w:rsid w:val="4A534079"/>
    <w:rsid w:val="4B2934E3"/>
    <w:rsid w:val="4B5C2F33"/>
    <w:rsid w:val="4C0F5EC7"/>
    <w:rsid w:val="4E565374"/>
    <w:rsid w:val="4E6F49E0"/>
    <w:rsid w:val="4EEC170F"/>
    <w:rsid w:val="4EFA2A26"/>
    <w:rsid w:val="4FAD5FDA"/>
    <w:rsid w:val="50363EAE"/>
    <w:rsid w:val="508F56DF"/>
    <w:rsid w:val="50F47545"/>
    <w:rsid w:val="51145BE4"/>
    <w:rsid w:val="511F2E99"/>
    <w:rsid w:val="51C92E73"/>
    <w:rsid w:val="51C94C21"/>
    <w:rsid w:val="52042E8B"/>
    <w:rsid w:val="530527EA"/>
    <w:rsid w:val="53073C53"/>
    <w:rsid w:val="540E1011"/>
    <w:rsid w:val="55485ACE"/>
    <w:rsid w:val="55723844"/>
    <w:rsid w:val="55C847E5"/>
    <w:rsid w:val="564D3613"/>
    <w:rsid w:val="567E6272"/>
    <w:rsid w:val="56882F1A"/>
    <w:rsid w:val="56DD2130"/>
    <w:rsid w:val="5721105B"/>
    <w:rsid w:val="57435475"/>
    <w:rsid w:val="577C1E68"/>
    <w:rsid w:val="583C06A0"/>
    <w:rsid w:val="584524D7"/>
    <w:rsid w:val="59EB3D45"/>
    <w:rsid w:val="5A3F1F24"/>
    <w:rsid w:val="5AC361D0"/>
    <w:rsid w:val="5B022F52"/>
    <w:rsid w:val="5B2630E4"/>
    <w:rsid w:val="5BDA1611"/>
    <w:rsid w:val="5C5B45DD"/>
    <w:rsid w:val="5CE21551"/>
    <w:rsid w:val="5D5C5D03"/>
    <w:rsid w:val="5D6E241A"/>
    <w:rsid w:val="5D973E25"/>
    <w:rsid w:val="5DB1138B"/>
    <w:rsid w:val="5DCD5A99"/>
    <w:rsid w:val="5F4E2C09"/>
    <w:rsid w:val="5F9E76ED"/>
    <w:rsid w:val="604049DC"/>
    <w:rsid w:val="604E1113"/>
    <w:rsid w:val="61927CBD"/>
    <w:rsid w:val="61BD2A9E"/>
    <w:rsid w:val="62083D30"/>
    <w:rsid w:val="622163B3"/>
    <w:rsid w:val="6267026A"/>
    <w:rsid w:val="626D4F90"/>
    <w:rsid w:val="6280493A"/>
    <w:rsid w:val="629A611D"/>
    <w:rsid w:val="62B62164"/>
    <w:rsid w:val="63AD337B"/>
    <w:rsid w:val="63CC5C38"/>
    <w:rsid w:val="63D47B81"/>
    <w:rsid w:val="64E12C27"/>
    <w:rsid w:val="65444892"/>
    <w:rsid w:val="654B3E73"/>
    <w:rsid w:val="65A05841"/>
    <w:rsid w:val="65B955B0"/>
    <w:rsid w:val="6607189C"/>
    <w:rsid w:val="665B6338"/>
    <w:rsid w:val="679B09B6"/>
    <w:rsid w:val="67E87F2D"/>
    <w:rsid w:val="68305972"/>
    <w:rsid w:val="68321AA1"/>
    <w:rsid w:val="68663764"/>
    <w:rsid w:val="687C67C3"/>
    <w:rsid w:val="69A61786"/>
    <w:rsid w:val="69DE390F"/>
    <w:rsid w:val="69FB6B56"/>
    <w:rsid w:val="6A693EA7"/>
    <w:rsid w:val="6A88787B"/>
    <w:rsid w:val="6AAB74FC"/>
    <w:rsid w:val="6B0D0B90"/>
    <w:rsid w:val="6B19056F"/>
    <w:rsid w:val="6B294B46"/>
    <w:rsid w:val="6B3F2BC0"/>
    <w:rsid w:val="6B415923"/>
    <w:rsid w:val="6B953C9D"/>
    <w:rsid w:val="6BD85D34"/>
    <w:rsid w:val="6C45261A"/>
    <w:rsid w:val="6C74010A"/>
    <w:rsid w:val="6C7B07B7"/>
    <w:rsid w:val="6CB320D7"/>
    <w:rsid w:val="6CC10B67"/>
    <w:rsid w:val="6D205BE5"/>
    <w:rsid w:val="6D807AAD"/>
    <w:rsid w:val="6E843F52"/>
    <w:rsid w:val="6F3A4093"/>
    <w:rsid w:val="6F692303"/>
    <w:rsid w:val="6F854ECD"/>
    <w:rsid w:val="6FB424E6"/>
    <w:rsid w:val="6FC52A74"/>
    <w:rsid w:val="70B07280"/>
    <w:rsid w:val="70BF4810"/>
    <w:rsid w:val="70C76E2A"/>
    <w:rsid w:val="718C2647"/>
    <w:rsid w:val="72C708B1"/>
    <w:rsid w:val="73025D8D"/>
    <w:rsid w:val="73384BA0"/>
    <w:rsid w:val="73C82B32"/>
    <w:rsid w:val="74C74B98"/>
    <w:rsid w:val="74EF5599"/>
    <w:rsid w:val="756357F7"/>
    <w:rsid w:val="76233386"/>
    <w:rsid w:val="76F030DD"/>
    <w:rsid w:val="779A47E6"/>
    <w:rsid w:val="779C055E"/>
    <w:rsid w:val="783633A0"/>
    <w:rsid w:val="783B30D3"/>
    <w:rsid w:val="789C3E22"/>
    <w:rsid w:val="78BB2C66"/>
    <w:rsid w:val="790C526F"/>
    <w:rsid w:val="799314ED"/>
    <w:rsid w:val="79A656C4"/>
    <w:rsid w:val="7AFE7CC4"/>
    <w:rsid w:val="7B0C7C88"/>
    <w:rsid w:val="7B272A85"/>
    <w:rsid w:val="7B3102AC"/>
    <w:rsid w:val="7B7F1D26"/>
    <w:rsid w:val="7C0E0342"/>
    <w:rsid w:val="7C136915"/>
    <w:rsid w:val="7C146F1F"/>
    <w:rsid w:val="7C33101A"/>
    <w:rsid w:val="7C4F1876"/>
    <w:rsid w:val="7C764A9E"/>
    <w:rsid w:val="7D4E40A8"/>
    <w:rsid w:val="7D780418"/>
    <w:rsid w:val="7E2F722B"/>
    <w:rsid w:val="7E7C258C"/>
    <w:rsid w:val="7EE90DDA"/>
    <w:rsid w:val="7EF0118F"/>
    <w:rsid w:val="7F390D88"/>
    <w:rsid w:val="7F963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customStyle="1" w:styleId="11">
    <w:name w:val="text1"/>
    <w:basedOn w:val="1"/>
    <w:autoRedefine/>
    <w:qFormat/>
    <w:uiPriority w:val="0"/>
    <w:pPr>
      <w:widowControl/>
      <w:spacing w:before="100" w:beforeAutospacing="1" w:after="100" w:afterAutospacing="1" w:line="440" w:lineRule="atLeast"/>
      <w:ind w:firstLine="600"/>
      <w:jc w:val="left"/>
    </w:pPr>
    <w:rPr>
      <w:rFonts w:ascii="宋体" w:hAnsi="宋体" w:eastAsia="宋体" w:cs="宋体"/>
      <w:color w:val="323232"/>
      <w:kern w:val="0"/>
      <w:sz w:val="28"/>
      <w:szCs w:val="2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红线"/>
    <w:basedOn w:val="1"/>
    <w:autoRedefine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汉鼎简仿宋" w:hAnsi="Times New Roman" w:eastAsia="汉鼎简仿宋" w:cs="Times New Roman"/>
      <w:snapToGrid w:val="0"/>
      <w:kern w:val="0"/>
      <w:sz w:val="10"/>
      <w:szCs w:val="20"/>
    </w:rPr>
  </w:style>
  <w:style w:type="paragraph" w:customStyle="1" w:styleId="15">
    <w:name w:val="文头"/>
    <w:basedOn w:val="14"/>
    <w:autoRedefine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284</Words>
  <Characters>1624</Characters>
  <Lines>13</Lines>
  <Paragraphs>3</Paragraphs>
  <TotalTime>15</TotalTime>
  <ScaleCrop>false</ScaleCrop>
  <LinksUpToDate>false</LinksUpToDate>
  <CharactersWithSpaces>1905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2023-05-05T02:57:00Z</dcterms:created>
  <dc:creator>sys</dc:creator>
  <cp:lastModifiedBy>蜗牛的小梦想</cp:lastModifiedBy>
  <cp:lastPrinted>2017-04-05T03:32:00Z</cp:lastPrinted>
  <dcterms:modified xsi:type="dcterms:W3CDTF">2024-04-08T06:28:19Z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D000E5D03B0D4D7585A61796F440EB04</vt:lpwstr>
  </property>
</Properties>
</file>