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hint="default" w:ascii="Times New Roman" w:hAnsi="Times New Roman" w:eastAsia="华文新魏" w:cs="Times New Roman"/>
          <w:bCs/>
          <w:color w:val="auto"/>
          <w:kern w:val="0"/>
          <w:sz w:val="52"/>
          <w:szCs w:val="52"/>
          <w:lang w:bidi="ar"/>
        </w:rPr>
      </w:pPr>
    </w:p>
    <w:p>
      <w:pPr>
        <w:widowControl/>
        <w:snapToGrid w:val="0"/>
        <w:spacing w:line="360" w:lineRule="auto"/>
        <w:jc w:val="center"/>
        <w:rPr>
          <w:rFonts w:hint="default" w:ascii="Times New Roman" w:hAnsi="Times New Roman" w:eastAsia="华文新魏" w:cs="Times New Roman"/>
          <w:bCs/>
          <w:color w:val="auto"/>
          <w:kern w:val="0"/>
          <w:sz w:val="56"/>
          <w:szCs w:val="56"/>
          <w:lang w:bidi="ar"/>
        </w:rPr>
      </w:pPr>
    </w:p>
    <w:p>
      <w:pPr>
        <w:keepNext w:val="0"/>
        <w:keepLines w:val="0"/>
        <w:pageBreakBefore w:val="0"/>
        <w:widowControl/>
        <w:kinsoku/>
        <w:wordWrap/>
        <w:overflowPunct/>
        <w:topLinePunct w:val="0"/>
        <w:autoSpaceDE/>
        <w:autoSpaceDN/>
        <w:bidi w:val="0"/>
        <w:adjustRightInd/>
        <w:snapToGrid w:val="0"/>
        <w:spacing w:line="1100" w:lineRule="exact"/>
        <w:jc w:val="center"/>
        <w:textAlignment w:val="auto"/>
        <w:rPr>
          <w:rFonts w:hint="eastAsia" w:ascii="方正小标宋_GBK" w:hAnsi="方正小标宋_GBK" w:eastAsia="方正小标宋_GBK" w:cs="方正小标宋_GBK"/>
          <w:bCs/>
          <w:color w:val="auto"/>
          <w:kern w:val="0"/>
          <w:sz w:val="60"/>
          <w:szCs w:val="64"/>
          <w:lang w:bidi="ar"/>
        </w:rPr>
      </w:pPr>
      <w:r>
        <w:rPr>
          <w:rFonts w:hint="eastAsia" w:ascii="方正小标宋_GBK" w:hAnsi="方正小标宋_GBK" w:eastAsia="方正小标宋_GBK" w:cs="方正小标宋_GBK"/>
          <w:bCs/>
          <w:color w:val="auto"/>
          <w:kern w:val="0"/>
          <w:sz w:val="60"/>
          <w:szCs w:val="64"/>
          <w:lang w:bidi="ar"/>
        </w:rPr>
        <w:t>天宁区“十四五”</w:t>
      </w:r>
    </w:p>
    <w:p>
      <w:pPr>
        <w:keepNext w:val="0"/>
        <w:keepLines w:val="0"/>
        <w:pageBreakBefore w:val="0"/>
        <w:widowControl/>
        <w:kinsoku/>
        <w:wordWrap/>
        <w:overflowPunct/>
        <w:topLinePunct w:val="0"/>
        <w:autoSpaceDE/>
        <w:autoSpaceDN/>
        <w:bidi w:val="0"/>
        <w:adjustRightInd/>
        <w:snapToGrid w:val="0"/>
        <w:spacing w:line="1100" w:lineRule="exact"/>
        <w:jc w:val="center"/>
        <w:textAlignment w:val="auto"/>
        <w:rPr>
          <w:rFonts w:hint="eastAsia" w:ascii="方正小标宋_GBK" w:hAnsi="方正小标宋_GBK" w:eastAsia="方正小标宋_GBK" w:cs="方正小标宋_GBK"/>
          <w:b/>
          <w:bCs/>
          <w:color w:val="auto"/>
          <w:kern w:val="0"/>
          <w:sz w:val="60"/>
          <w:szCs w:val="64"/>
          <w:lang w:bidi="ar"/>
        </w:rPr>
      </w:pPr>
      <w:r>
        <w:rPr>
          <w:rFonts w:hint="eastAsia" w:ascii="方正小标宋_GBK" w:hAnsi="方正小标宋_GBK" w:eastAsia="方正小标宋_GBK" w:cs="方正小标宋_GBK"/>
          <w:bCs/>
          <w:color w:val="auto"/>
          <w:kern w:val="0"/>
          <w:sz w:val="60"/>
          <w:szCs w:val="64"/>
          <w:lang w:bidi="ar"/>
        </w:rPr>
        <w:t>卫生健康事业发展规划</w:t>
      </w:r>
    </w:p>
    <w:p>
      <w:pPr>
        <w:widowControl/>
        <w:snapToGrid w:val="0"/>
        <w:spacing w:line="360" w:lineRule="auto"/>
        <w:jc w:val="center"/>
        <w:rPr>
          <w:rFonts w:hint="default" w:ascii="Times New Roman" w:hAnsi="Times New Roman" w:eastAsia="宋体" w:cs="Times New Roman"/>
          <w:b/>
          <w:bCs/>
          <w:color w:val="auto"/>
          <w:kern w:val="0"/>
          <w:sz w:val="32"/>
          <w:szCs w:val="32"/>
          <w:lang w:bidi="ar"/>
        </w:rPr>
      </w:pPr>
    </w:p>
    <w:p>
      <w:pPr>
        <w:pStyle w:val="2"/>
        <w:rPr>
          <w:rFonts w:hint="default" w:ascii="Times New Roman" w:hAnsi="Times New Roman" w:cs="Times New Roman"/>
          <w:color w:val="auto"/>
        </w:rPr>
      </w:pPr>
    </w:p>
    <w:p>
      <w:pPr>
        <w:widowControl/>
        <w:snapToGrid w:val="0"/>
        <w:spacing w:line="360" w:lineRule="auto"/>
        <w:jc w:val="center"/>
        <w:rPr>
          <w:rFonts w:hint="default" w:ascii="Times New Roman" w:hAnsi="Times New Roman" w:eastAsia="宋体" w:cs="Times New Roman"/>
          <w:b/>
          <w:bCs/>
          <w:color w:val="auto"/>
          <w:kern w:val="0"/>
          <w:sz w:val="32"/>
          <w:szCs w:val="32"/>
          <w:lang w:bidi="ar"/>
        </w:rPr>
      </w:pPr>
    </w:p>
    <w:p>
      <w:pPr>
        <w:widowControl/>
        <w:snapToGrid w:val="0"/>
        <w:spacing w:line="360" w:lineRule="auto"/>
        <w:jc w:val="center"/>
        <w:rPr>
          <w:rFonts w:hint="default" w:ascii="Times New Roman" w:hAnsi="Times New Roman" w:eastAsia="宋体" w:cs="Times New Roman"/>
          <w:b/>
          <w:bCs/>
          <w:color w:val="auto"/>
          <w:kern w:val="0"/>
          <w:sz w:val="32"/>
          <w:szCs w:val="32"/>
          <w:lang w:bidi="ar"/>
        </w:rPr>
      </w:pPr>
    </w:p>
    <w:p>
      <w:pPr>
        <w:widowControl/>
        <w:snapToGrid w:val="0"/>
        <w:spacing w:line="360" w:lineRule="auto"/>
        <w:jc w:val="center"/>
        <w:rPr>
          <w:rFonts w:hint="default" w:ascii="Times New Roman" w:hAnsi="Times New Roman" w:eastAsia="宋体" w:cs="Times New Roman"/>
          <w:b/>
          <w:bCs/>
          <w:color w:val="auto"/>
          <w:kern w:val="0"/>
          <w:sz w:val="32"/>
          <w:szCs w:val="32"/>
          <w:lang w:bidi="ar"/>
        </w:rPr>
      </w:pPr>
    </w:p>
    <w:p>
      <w:pPr>
        <w:widowControl/>
        <w:snapToGrid w:val="0"/>
        <w:spacing w:line="360" w:lineRule="auto"/>
        <w:jc w:val="center"/>
        <w:rPr>
          <w:rFonts w:hint="default" w:ascii="Times New Roman" w:hAnsi="Times New Roman" w:eastAsia="宋体" w:cs="Times New Roman"/>
          <w:b/>
          <w:bCs/>
          <w:color w:val="auto"/>
          <w:kern w:val="0"/>
          <w:sz w:val="32"/>
          <w:szCs w:val="32"/>
          <w:lang w:bidi="ar"/>
        </w:rPr>
      </w:pPr>
    </w:p>
    <w:p>
      <w:pPr>
        <w:widowControl/>
        <w:snapToGrid w:val="0"/>
        <w:spacing w:line="360" w:lineRule="auto"/>
        <w:jc w:val="center"/>
        <w:rPr>
          <w:rFonts w:hint="default" w:ascii="Times New Roman" w:hAnsi="Times New Roman" w:eastAsia="宋体" w:cs="Times New Roman"/>
          <w:b/>
          <w:bCs/>
          <w:color w:val="auto"/>
          <w:kern w:val="0"/>
          <w:sz w:val="32"/>
          <w:szCs w:val="32"/>
          <w:lang w:bidi="ar"/>
        </w:rPr>
      </w:pPr>
    </w:p>
    <w:p>
      <w:pPr>
        <w:widowControl/>
        <w:snapToGrid w:val="0"/>
        <w:spacing w:line="360" w:lineRule="auto"/>
        <w:jc w:val="center"/>
        <w:rPr>
          <w:rFonts w:hint="default" w:ascii="Times New Roman" w:hAnsi="Times New Roman" w:eastAsia="宋体" w:cs="Times New Roman"/>
          <w:b/>
          <w:bCs/>
          <w:color w:val="auto"/>
          <w:kern w:val="0"/>
          <w:sz w:val="32"/>
          <w:szCs w:val="32"/>
          <w:lang w:bidi="ar"/>
        </w:rPr>
      </w:pPr>
    </w:p>
    <w:p>
      <w:pPr>
        <w:widowControl/>
        <w:snapToGrid w:val="0"/>
        <w:spacing w:line="360" w:lineRule="auto"/>
        <w:jc w:val="center"/>
        <w:rPr>
          <w:rFonts w:hint="default" w:ascii="Times New Roman" w:hAnsi="Times New Roman" w:eastAsia="宋体" w:cs="Times New Roman"/>
          <w:b/>
          <w:bCs/>
          <w:color w:val="auto"/>
          <w:kern w:val="0"/>
          <w:sz w:val="32"/>
          <w:szCs w:val="32"/>
          <w:lang w:bidi="ar"/>
        </w:rPr>
      </w:pPr>
    </w:p>
    <w:p>
      <w:pPr>
        <w:widowControl/>
        <w:snapToGrid w:val="0"/>
        <w:spacing w:line="360" w:lineRule="auto"/>
        <w:rPr>
          <w:rFonts w:hint="default" w:ascii="Times New Roman" w:hAnsi="Times New Roman" w:eastAsia="宋体" w:cs="Times New Roman"/>
          <w:b/>
          <w:bCs/>
          <w:color w:val="auto"/>
          <w:kern w:val="0"/>
          <w:sz w:val="32"/>
          <w:szCs w:val="32"/>
          <w:lang w:bidi="ar"/>
        </w:rPr>
      </w:pPr>
    </w:p>
    <w:p>
      <w:pPr>
        <w:pStyle w:val="2"/>
        <w:rPr>
          <w:rFonts w:hint="default"/>
        </w:rPr>
      </w:pPr>
    </w:p>
    <w:p>
      <w:pPr>
        <w:snapToGrid w:val="0"/>
        <w:spacing w:line="360" w:lineRule="auto"/>
        <w:jc w:val="both"/>
        <w:outlineLvl w:val="0"/>
        <w:rPr>
          <w:rFonts w:hint="default" w:ascii="Times New Roman" w:hAnsi="Times New Roman" w:eastAsia="方正黑体_GBK" w:cs="Times New Roman"/>
          <w:bCs/>
          <w:color w:val="auto"/>
          <w:sz w:val="32"/>
          <w:szCs w:val="40"/>
        </w:rPr>
      </w:pPr>
      <w:bookmarkStart w:id="0" w:name="_Toc14817142"/>
      <w:bookmarkStart w:id="1" w:name="_Toc19044029"/>
      <w:bookmarkStart w:id="2" w:name="_Toc19088337"/>
      <w:bookmarkStart w:id="3" w:name="_Toc20568308"/>
      <w:bookmarkStart w:id="4" w:name="_Toc21708711"/>
      <w:bookmarkStart w:id="5" w:name="_Toc17246230"/>
    </w:p>
    <w:bookmarkEnd w:id="0"/>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0"/>
        <w:rPr>
          <w:rFonts w:hint="default" w:ascii="Times New Roman" w:hAnsi="Times New Roman" w:eastAsia="方正楷体_GBK" w:cs="Times New Roman"/>
          <w:b w:val="0"/>
          <w:bCs w:val="0"/>
          <w:color w:val="auto"/>
          <w:sz w:val="32"/>
          <w:szCs w:val="32"/>
        </w:rPr>
      </w:pPr>
    </w:p>
    <w:p>
      <w:pPr>
        <w:pStyle w:val="2"/>
        <w:rPr>
          <w:rFonts w:hint="default" w:ascii="Times New Roman" w:hAnsi="Times New Roman" w:eastAsia="方正楷体_GBK" w:cs="Times New Roman"/>
          <w:b w:val="0"/>
          <w:bCs w:val="0"/>
          <w:color w:val="auto"/>
          <w:sz w:val="32"/>
          <w:szCs w:val="32"/>
        </w:rPr>
      </w:pPr>
    </w:p>
    <w:p>
      <w:pPr>
        <w:rPr>
          <w:rFonts w:hint="default" w:ascii="Times New Roman" w:hAnsi="Times New Roman" w:eastAsia="方正楷体_GBK" w:cs="Times New Roman"/>
          <w:b w:val="0"/>
          <w:bCs w:val="0"/>
          <w:color w:val="auto"/>
          <w:sz w:val="32"/>
          <w:szCs w:val="32"/>
        </w:rPr>
      </w:pPr>
    </w:p>
    <w:p>
      <w:pPr>
        <w:pStyle w:val="2"/>
        <w:rPr>
          <w:rFonts w:hint="default" w:ascii="Times New Roman" w:hAnsi="Times New Roman" w:eastAsia="方正楷体_GBK" w:cs="Times New Roman"/>
          <w:b w:val="0"/>
          <w:bCs w:val="0"/>
          <w:color w:val="auto"/>
          <w:sz w:val="32"/>
          <w:szCs w:val="32"/>
        </w:rPr>
      </w:pPr>
    </w:p>
    <w:p>
      <w:pPr>
        <w:rPr>
          <w:rFonts w:hint="default"/>
        </w:rPr>
      </w:pPr>
    </w:p>
    <w:p>
      <w:pPr>
        <w:pStyle w:val="2"/>
        <w:rPr>
          <w:rFonts w:hint="default" w:ascii="Times New Roman" w:hAnsi="Times New Roman" w:eastAsia="方正黑体_GBK" w:cs="Times New Roman"/>
          <w:b w:val="0"/>
          <w:bCs w:val="0"/>
          <w:color w:val="auto"/>
          <w:sz w:val="32"/>
          <w:szCs w:val="32"/>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0"/>
        <w:rPr>
          <w:rFonts w:hint="eastAsia" w:ascii="方正小标宋_GBK" w:hAnsi="方正小标宋_GBK" w:eastAsia="方正小标宋_GBK" w:cs="方正小标宋_GBK"/>
          <w:color w:val="auto"/>
          <w:sz w:val="44"/>
          <w:szCs w:val="44"/>
        </w:rPr>
      </w:pPr>
      <w:bookmarkStart w:id="6" w:name="_Toc29571"/>
      <w:r>
        <w:rPr>
          <w:rFonts w:hint="eastAsia" w:ascii="方正小标宋_GBK" w:hAnsi="方正小标宋_GBK" w:eastAsia="方正小标宋_GBK" w:cs="方正小标宋_GBK"/>
          <w:color w:val="auto"/>
          <w:sz w:val="44"/>
          <w:szCs w:val="44"/>
        </w:rPr>
        <w:t>常州市天宁区卫生健康“十四五”规划</w:t>
      </w:r>
      <w:bookmarkEnd w:id="6"/>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专家论证意见</w:t>
      </w:r>
    </w:p>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2021年12月21日下午，常州市天宁区卫生健康</w:t>
      </w:r>
      <w:r>
        <w:rPr>
          <w:rFonts w:hint="default" w:ascii="Times New Roman" w:hAnsi="Times New Roman" w:eastAsia="方正仿宋_GBK" w:cs="Times New Roman"/>
          <w:color w:val="auto"/>
          <w:sz w:val="32"/>
          <w:szCs w:val="32"/>
          <w:lang w:eastAsia="zh-CN"/>
        </w:rPr>
        <w:t>局</w:t>
      </w:r>
      <w:r>
        <w:rPr>
          <w:rFonts w:hint="default" w:ascii="Times New Roman" w:hAnsi="Times New Roman" w:eastAsia="方正仿宋_GBK" w:cs="Times New Roman"/>
          <w:color w:val="auto"/>
          <w:sz w:val="32"/>
          <w:szCs w:val="32"/>
        </w:rPr>
        <w:t>在南京医科大学江宁校区组织召开了常州市天宁区卫生健康“十四五”规划专家论证会(专家详细名单附后)。专家组听取了规划成果汇报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形成以下论证意见：</w:t>
      </w:r>
    </w:p>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专家组认为该项规划抓住了“十四五”期间卫生健康事业的重要关注点，目标明确、重点突出、体系完整、内容详实，具有前瞻性和可操作性，原则上一致同意通过。为</w:t>
      </w:r>
      <w:r>
        <w:rPr>
          <w:rFonts w:hint="default" w:ascii="Times New Roman" w:hAnsi="Times New Roman" w:eastAsia="方正仿宋_GBK" w:cs="Times New Roman"/>
          <w:color w:val="auto"/>
          <w:sz w:val="32"/>
          <w:szCs w:val="32"/>
          <w:highlight w:val="none"/>
          <w:lang w:eastAsia="zh-CN"/>
        </w:rPr>
        <w:t>进</w:t>
      </w:r>
      <w:r>
        <w:rPr>
          <w:rFonts w:hint="default" w:ascii="Times New Roman" w:hAnsi="Times New Roman" w:eastAsia="方正仿宋_GBK" w:cs="Times New Roman"/>
          <w:color w:val="auto"/>
          <w:sz w:val="32"/>
          <w:szCs w:val="32"/>
        </w:rPr>
        <w:t>一步完善规划成果，提出以下建议：</w:t>
      </w:r>
    </w:p>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1、规划要落实国家相关政策要求，紧密结合常州及天宁区发展战略，进一步明确卫生健康发展的重点任务；</w:t>
      </w:r>
    </w:p>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2、加强该规划与天宁区其他发展规划之间的衔接，确保数据、内容和格式的一致性；</w:t>
      </w:r>
    </w:p>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3、该规划根据专家具体意见在表述上进一步修改完善。</w:t>
      </w:r>
    </w:p>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4、推动优质资源扩容，形成具备天宁区特色的核心卫生健康发展模式。</w:t>
      </w:r>
    </w:p>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drawing>
          <wp:anchor distT="0" distB="0" distL="114300" distR="114300" simplePos="0" relativeHeight="251659264" behindDoc="0" locked="0" layoutInCell="1" allowOverlap="1">
            <wp:simplePos x="0" y="0"/>
            <wp:positionH relativeFrom="column">
              <wp:posOffset>3992880</wp:posOffset>
            </wp:positionH>
            <wp:positionV relativeFrom="paragraph">
              <wp:posOffset>93980</wp:posOffset>
            </wp:positionV>
            <wp:extent cx="784860" cy="68643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extLst>
                        <a:ext uri="{28A0092B-C50C-407E-A947-70E740481C1C}">
                          <a14:useLocalDpi xmlns:a14="http://schemas.microsoft.com/office/drawing/2010/main" val="0"/>
                        </a:ext>
                      </a:extLst>
                    </a:blip>
                    <a:srcRect r="27096"/>
                    <a:stretch>
                      <a:fillRect/>
                    </a:stretch>
                  </pic:blipFill>
                  <pic:spPr>
                    <a:xfrm>
                      <a:off x="0" y="0"/>
                      <a:ext cx="784860" cy="686435"/>
                    </a:xfrm>
                    <a:prstGeom prst="rect">
                      <a:avLst/>
                    </a:prstGeom>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ind w:left="2100" w:leftChars="1000" w:right="0" w:firstLine="0" w:firstLineChars="0"/>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专家组组长：</w:t>
      </w:r>
    </w:p>
    <w:p>
      <w:pPr>
        <w:keepNext w:val="0"/>
        <w:keepLines w:val="0"/>
        <w:pageBreakBefore w:val="0"/>
        <w:widowControl w:val="0"/>
        <w:kinsoku/>
        <w:wordWrap/>
        <w:overflowPunct/>
        <w:topLinePunct w:val="0"/>
        <w:autoSpaceDE/>
        <w:autoSpaceDN/>
        <w:bidi w:val="0"/>
        <w:adjustRightInd/>
        <w:snapToGrid/>
        <w:spacing w:line="570" w:lineRule="exact"/>
        <w:ind w:left="3150" w:leftChars="1500" w:right="0" w:firstLine="0" w:firstLineChars="0"/>
        <w:jc w:val="center"/>
        <w:textAlignment w:val="auto"/>
        <w:rPr>
          <w:rFonts w:hint="default" w:ascii="Times New Roman" w:hAnsi="Times New Roman" w:eastAsia="黑体" w:cs="Times New Roman"/>
          <w:color w:val="auto"/>
          <w:kern w:val="0"/>
          <w:sz w:val="32"/>
          <w:szCs w:val="32"/>
        </w:rPr>
      </w:pPr>
      <w:r>
        <w:rPr>
          <w:rFonts w:hint="default" w:ascii="Times New Roman" w:hAnsi="Times New Roman" w:eastAsia="方正仿宋_GBK" w:cs="Times New Roman"/>
          <w:color w:val="auto"/>
          <w:sz w:val="32"/>
          <w:szCs w:val="32"/>
        </w:rPr>
        <w:t>2021年12月21日</w:t>
      </w:r>
    </w:p>
    <w:p>
      <w:pPr>
        <w:keepNext w:val="0"/>
        <w:keepLines w:val="0"/>
        <w:pageBreakBefore w:val="0"/>
        <w:widowControl w:val="0"/>
        <w:kinsoku/>
        <w:wordWrap/>
        <w:overflowPunct/>
        <w:topLinePunct w:val="0"/>
        <w:autoSpaceDE/>
        <w:autoSpaceDN/>
        <w:bidi w:val="0"/>
        <w:adjustRightInd/>
        <w:snapToGrid w:val="0"/>
        <w:spacing w:after="313" w:afterLines="100" w:line="700" w:lineRule="exact"/>
        <w:jc w:val="center"/>
        <w:textAlignment w:val="auto"/>
        <w:outlineLvl w:val="0"/>
        <w:rPr>
          <w:rFonts w:hint="default" w:ascii="Times New Roman" w:hAnsi="Times New Roman" w:eastAsia="方正小标宋_GBK" w:cs="Times New Roman"/>
          <w:color w:val="auto"/>
          <w:sz w:val="44"/>
          <w:szCs w:val="44"/>
        </w:rPr>
      </w:pPr>
      <w:bookmarkStart w:id="7" w:name="_Toc14702"/>
      <w:r>
        <w:rPr>
          <w:rFonts w:hint="default" w:ascii="Times New Roman" w:hAnsi="Times New Roman" w:eastAsia="方正小标宋_GBK" w:cs="Times New Roman"/>
          <w:color w:val="auto"/>
          <w:sz w:val="44"/>
          <w:szCs w:val="44"/>
        </w:rPr>
        <w:t>专家论证会邀请专家名单</w:t>
      </w:r>
      <w:bookmarkEnd w:id="7"/>
    </w:p>
    <w:tbl>
      <w:tblPr>
        <w:tblStyle w:val="13"/>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73"/>
        <w:gridCol w:w="1000"/>
        <w:gridCol w:w="2637"/>
        <w:gridCol w:w="1525"/>
        <w:gridCol w:w="171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7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序号</w:t>
            </w:r>
          </w:p>
        </w:tc>
        <w:tc>
          <w:tcPr>
            <w:tcW w:w="10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姓名</w:t>
            </w:r>
          </w:p>
        </w:tc>
        <w:tc>
          <w:tcPr>
            <w:tcW w:w="26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工作单位</w:t>
            </w:r>
          </w:p>
        </w:tc>
        <w:tc>
          <w:tcPr>
            <w:tcW w:w="15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职称、职务</w:t>
            </w:r>
          </w:p>
        </w:tc>
        <w:tc>
          <w:tcPr>
            <w:tcW w:w="17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签字</w:t>
            </w:r>
          </w:p>
        </w:tc>
        <w:tc>
          <w:tcPr>
            <w:tcW w:w="15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黑体_GBK" w:cs="Times New Roman"/>
                <w:b w:val="0"/>
                <w:bCs w:val="0"/>
                <w:color w:val="auto"/>
                <w:kern w:val="0"/>
                <w:sz w:val="22"/>
                <w:szCs w:val="22"/>
              </w:rPr>
            </w:pPr>
            <w:r>
              <w:rPr>
                <w:rFonts w:hint="default" w:ascii="Times New Roman" w:hAnsi="Times New Roman" w:eastAsia="方正黑体_GBK" w:cs="Times New Roman"/>
                <w:b w:val="0"/>
                <w:bCs w:val="0"/>
                <w:color w:val="auto"/>
                <w:kern w:val="0"/>
                <w:sz w:val="22"/>
                <w:szCs w:val="2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7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w:t>
            </w:r>
          </w:p>
        </w:tc>
        <w:tc>
          <w:tcPr>
            <w:tcW w:w="10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姜</w:t>
            </w:r>
            <w:r>
              <w:rPr>
                <w:rFonts w:hint="default" w:ascii="Times New Roman" w:hAnsi="Times New Roman" w:eastAsia="方正仿宋_GBK" w:cs="Times New Roman"/>
                <w:color w:val="auto"/>
                <w:kern w:val="0"/>
                <w:sz w:val="22"/>
                <w:szCs w:val="22"/>
                <w:lang w:eastAsia="zh-CN"/>
              </w:rPr>
              <w:t>　</w:t>
            </w:r>
            <w:r>
              <w:rPr>
                <w:rFonts w:hint="default" w:ascii="Times New Roman" w:hAnsi="Times New Roman" w:eastAsia="方正仿宋_GBK" w:cs="Times New Roman"/>
                <w:color w:val="auto"/>
                <w:kern w:val="0"/>
                <w:sz w:val="22"/>
                <w:szCs w:val="22"/>
              </w:rPr>
              <w:t>仑</w:t>
            </w:r>
          </w:p>
        </w:tc>
        <w:tc>
          <w:tcPr>
            <w:tcW w:w="26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江苏省卫生健康委员会基层处</w:t>
            </w:r>
          </w:p>
        </w:tc>
        <w:tc>
          <w:tcPr>
            <w:tcW w:w="15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研究员</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处长</w:t>
            </w:r>
          </w:p>
        </w:tc>
        <w:tc>
          <w:tcPr>
            <w:tcW w:w="17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黑体_GBK" w:cs="Times New Roman"/>
                <w:b w:val="0"/>
                <w:bCs w:val="0"/>
                <w:color w:val="auto"/>
                <w:kern w:val="0"/>
                <w:sz w:val="22"/>
                <w:szCs w:val="22"/>
              </w:rPr>
              <w:drawing>
                <wp:anchor distT="0" distB="0" distL="114300" distR="114300" simplePos="0" relativeHeight="251661312" behindDoc="0" locked="0" layoutInCell="1" allowOverlap="1">
                  <wp:simplePos x="0" y="0"/>
                  <wp:positionH relativeFrom="column">
                    <wp:posOffset>115570</wp:posOffset>
                  </wp:positionH>
                  <wp:positionV relativeFrom="paragraph">
                    <wp:posOffset>22225</wp:posOffset>
                  </wp:positionV>
                  <wp:extent cx="786765" cy="522605"/>
                  <wp:effectExtent l="0" t="0" r="0" b="1079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a:extLst>
                              <a:ext uri="{28A0092B-C50C-407E-A947-70E740481C1C}">
                                <a14:useLocalDpi xmlns:a14="http://schemas.microsoft.com/office/drawing/2010/main" val="0"/>
                              </a:ext>
                            </a:extLst>
                          </a:blip>
                          <a:srcRect t="14791" b="8651"/>
                          <a:stretch>
                            <a:fillRect/>
                          </a:stretch>
                        </pic:blipFill>
                        <pic:spPr>
                          <a:xfrm>
                            <a:off x="0" y="0"/>
                            <a:ext cx="786765" cy="522605"/>
                          </a:xfrm>
                          <a:prstGeom prst="rect">
                            <a:avLst/>
                          </a:prstGeom>
                          <a:noFill/>
                        </pic:spPr>
                      </pic:pic>
                    </a:graphicData>
                  </a:graphic>
                </wp:anchor>
              </w:drawing>
            </w:r>
          </w:p>
        </w:tc>
        <w:tc>
          <w:tcPr>
            <w:tcW w:w="15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13512539866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7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2</w:t>
            </w:r>
          </w:p>
        </w:tc>
        <w:tc>
          <w:tcPr>
            <w:tcW w:w="10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徐爱军</w:t>
            </w:r>
          </w:p>
        </w:tc>
        <w:tc>
          <w:tcPr>
            <w:tcW w:w="26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南京中医药大学</w:t>
            </w:r>
          </w:p>
        </w:tc>
        <w:tc>
          <w:tcPr>
            <w:tcW w:w="15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教授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院长</w:t>
            </w:r>
          </w:p>
        </w:tc>
        <w:tc>
          <w:tcPr>
            <w:tcW w:w="17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drawing>
                <wp:anchor distT="0" distB="0" distL="114300" distR="114300" simplePos="0" relativeHeight="251662336" behindDoc="0" locked="0" layoutInCell="1" allowOverlap="1">
                  <wp:simplePos x="0" y="0"/>
                  <wp:positionH relativeFrom="column">
                    <wp:posOffset>-13335</wp:posOffset>
                  </wp:positionH>
                  <wp:positionV relativeFrom="paragraph">
                    <wp:posOffset>77470</wp:posOffset>
                  </wp:positionV>
                  <wp:extent cx="949960" cy="511810"/>
                  <wp:effectExtent l="0" t="0" r="2540" b="254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49960" cy="511810"/>
                          </a:xfrm>
                          <a:prstGeom prst="rect">
                            <a:avLst/>
                          </a:prstGeom>
                        </pic:spPr>
                      </pic:pic>
                    </a:graphicData>
                  </a:graphic>
                </wp:anchor>
              </w:drawing>
            </w:r>
          </w:p>
        </w:tc>
        <w:tc>
          <w:tcPr>
            <w:tcW w:w="15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13701451007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7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3</w:t>
            </w:r>
          </w:p>
        </w:tc>
        <w:tc>
          <w:tcPr>
            <w:tcW w:w="10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陶红滨</w:t>
            </w:r>
          </w:p>
        </w:tc>
        <w:tc>
          <w:tcPr>
            <w:tcW w:w="26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江苏省卫生健康委员会规划信息处</w:t>
            </w:r>
          </w:p>
        </w:tc>
        <w:tc>
          <w:tcPr>
            <w:tcW w:w="15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研究员</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副处长</w:t>
            </w:r>
          </w:p>
        </w:tc>
        <w:tc>
          <w:tcPr>
            <w:tcW w:w="17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lang w:val="zh-CN"/>
              </w:rPr>
              <w:drawing>
                <wp:anchor distT="0" distB="0" distL="114300" distR="114300" simplePos="0" relativeHeight="251663360" behindDoc="0" locked="0" layoutInCell="1" allowOverlap="1">
                  <wp:simplePos x="0" y="0"/>
                  <wp:positionH relativeFrom="column">
                    <wp:posOffset>41910</wp:posOffset>
                  </wp:positionH>
                  <wp:positionV relativeFrom="paragraph">
                    <wp:posOffset>133350</wp:posOffset>
                  </wp:positionV>
                  <wp:extent cx="882650" cy="351790"/>
                  <wp:effectExtent l="0" t="0" r="0" b="1016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2650" cy="351790"/>
                          </a:xfrm>
                          <a:prstGeom prst="rect">
                            <a:avLst/>
                          </a:prstGeom>
                        </pic:spPr>
                      </pic:pic>
                    </a:graphicData>
                  </a:graphic>
                </wp:anchor>
              </w:drawing>
            </w:r>
          </w:p>
        </w:tc>
        <w:tc>
          <w:tcPr>
            <w:tcW w:w="15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13851655218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7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4</w:t>
            </w:r>
          </w:p>
        </w:tc>
        <w:tc>
          <w:tcPr>
            <w:tcW w:w="10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张</w:t>
            </w:r>
            <w:r>
              <w:rPr>
                <w:rFonts w:hint="default" w:ascii="Times New Roman" w:hAnsi="Times New Roman" w:eastAsia="方正仿宋_GBK" w:cs="Times New Roman"/>
                <w:color w:val="auto"/>
                <w:kern w:val="0"/>
                <w:sz w:val="22"/>
                <w:szCs w:val="22"/>
                <w:lang w:eastAsia="zh-CN"/>
              </w:rPr>
              <w:t>　</w:t>
            </w:r>
            <w:r>
              <w:rPr>
                <w:rFonts w:hint="default" w:ascii="Times New Roman" w:hAnsi="Times New Roman" w:eastAsia="方正仿宋_GBK" w:cs="Times New Roman"/>
                <w:color w:val="auto"/>
                <w:kern w:val="0"/>
                <w:sz w:val="22"/>
                <w:szCs w:val="22"/>
              </w:rPr>
              <w:t>晓</w:t>
            </w:r>
          </w:p>
        </w:tc>
        <w:tc>
          <w:tcPr>
            <w:tcW w:w="26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东南大学</w:t>
            </w:r>
          </w:p>
        </w:tc>
        <w:tc>
          <w:tcPr>
            <w:tcW w:w="15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副教授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系主任</w:t>
            </w:r>
          </w:p>
        </w:tc>
        <w:tc>
          <w:tcPr>
            <w:tcW w:w="17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drawing>
                <wp:anchor distT="0" distB="0" distL="114300" distR="114300" simplePos="0" relativeHeight="251664384" behindDoc="0" locked="0" layoutInCell="1" allowOverlap="1">
                  <wp:simplePos x="0" y="0"/>
                  <wp:positionH relativeFrom="column">
                    <wp:posOffset>33655</wp:posOffset>
                  </wp:positionH>
                  <wp:positionV relativeFrom="paragraph">
                    <wp:posOffset>100330</wp:posOffset>
                  </wp:positionV>
                  <wp:extent cx="970280" cy="428625"/>
                  <wp:effectExtent l="0" t="0" r="0" b="889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970280" cy="428625"/>
                          </a:xfrm>
                          <a:prstGeom prst="rect">
                            <a:avLst/>
                          </a:prstGeom>
                          <a:noFill/>
                        </pic:spPr>
                      </pic:pic>
                    </a:graphicData>
                  </a:graphic>
                </wp:anchor>
              </w:drawing>
            </w:r>
          </w:p>
        </w:tc>
        <w:tc>
          <w:tcPr>
            <w:tcW w:w="15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13776643008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573"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5</w:t>
            </w:r>
          </w:p>
        </w:tc>
        <w:tc>
          <w:tcPr>
            <w:tcW w:w="1000"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蔡正茂</w:t>
            </w:r>
          </w:p>
        </w:tc>
        <w:tc>
          <w:tcPr>
            <w:tcW w:w="2637"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常州市卫生健康委员会</w:t>
            </w:r>
          </w:p>
        </w:tc>
        <w:tc>
          <w:tcPr>
            <w:tcW w:w="1525"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研究员</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副主任</w:t>
            </w:r>
          </w:p>
        </w:tc>
        <w:tc>
          <w:tcPr>
            <w:tcW w:w="1711"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sz w:val="22"/>
                <w:szCs w:val="22"/>
              </w:rPr>
              <w:drawing>
                <wp:anchor distT="0" distB="0" distL="114300" distR="114300" simplePos="0" relativeHeight="251665408" behindDoc="0" locked="0" layoutInCell="1" allowOverlap="1">
                  <wp:simplePos x="0" y="0"/>
                  <wp:positionH relativeFrom="column">
                    <wp:posOffset>40640</wp:posOffset>
                  </wp:positionH>
                  <wp:positionV relativeFrom="paragraph">
                    <wp:posOffset>71120</wp:posOffset>
                  </wp:positionV>
                  <wp:extent cx="1009650" cy="359410"/>
                  <wp:effectExtent l="0" t="0" r="0" b="254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009650" cy="359410"/>
                          </a:xfrm>
                          <a:prstGeom prst="rect">
                            <a:avLst/>
                          </a:prstGeom>
                          <a:noFill/>
                          <a:ln>
                            <a:noFill/>
                          </a:ln>
                        </pic:spPr>
                      </pic:pic>
                    </a:graphicData>
                  </a:graphic>
                </wp:anchor>
              </w:drawing>
            </w:r>
          </w:p>
        </w:tc>
        <w:tc>
          <w:tcPr>
            <w:tcW w:w="1512" w:type="dxa"/>
            <w:tcBorders>
              <w:tl2br w:val="nil"/>
              <w:tr2bl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kern w:val="0"/>
                <w:sz w:val="22"/>
                <w:szCs w:val="22"/>
              </w:rPr>
            </w:pPr>
            <w:r>
              <w:rPr>
                <w:rFonts w:hint="default" w:ascii="Times New Roman" w:hAnsi="Times New Roman" w:eastAsia="方正仿宋_GBK" w:cs="Times New Roman"/>
                <w:color w:val="auto"/>
                <w:kern w:val="0"/>
                <w:sz w:val="22"/>
                <w:szCs w:val="22"/>
              </w:rPr>
              <w:t>13961156525</w:t>
            </w:r>
          </w:p>
        </w:tc>
      </w:tr>
    </w:tbl>
    <w:p>
      <w:pPr>
        <w:rPr>
          <w:rFonts w:hint="default" w:ascii="Times New Roman" w:hAnsi="Times New Roman" w:cs="Times New Roman"/>
          <w:color w:val="auto"/>
          <w:lang w:val="zh-CN"/>
        </w:rPr>
      </w:pPr>
      <w:bookmarkStart w:id="8" w:name="_Toc68722381"/>
    </w:p>
    <w:p>
      <w:pPr>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pStyle w:val="2"/>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pStyle w:val="2"/>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pStyle w:val="2"/>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pStyle w:val="2"/>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pStyle w:val="2"/>
        <w:rPr>
          <w:rFonts w:hint="default"/>
          <w:lang w:val="zh-CN"/>
        </w:rPr>
      </w:pPr>
    </w:p>
    <w:p>
      <w:pPr>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rPr>
          <w:rFonts w:hint="default" w:ascii="Times New Roman" w:hAnsi="Times New Roman" w:cs="Times New Roman"/>
          <w:color w:val="auto"/>
          <w:lang w:val="zh-CN"/>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0"/>
        <w:rPr>
          <w:rFonts w:hint="default" w:ascii="Times New Roman" w:hAnsi="Times New Roman" w:eastAsia="方正小标宋_GBK" w:cs="Times New Roman"/>
          <w:color w:val="auto"/>
          <w:sz w:val="44"/>
          <w:szCs w:val="44"/>
          <w:lang w:val="zh-CN"/>
        </w:rPr>
      </w:pPr>
      <w:bookmarkStart w:id="9" w:name="_Toc17082"/>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0"/>
        <w:rPr>
          <w:rFonts w:hint="default" w:ascii="Times New Roman" w:hAnsi="Times New Roman" w:eastAsia="方正小标宋_GBK" w:cs="Times New Roman"/>
          <w:color w:val="auto"/>
          <w:sz w:val="44"/>
          <w:szCs w:val="44"/>
          <w:lang w:val="zh-CN"/>
        </w:r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0"/>
        <w:rPr>
          <w:rFonts w:hint="default" w:ascii="Times New Roman" w:hAnsi="Times New Roman" w:eastAsia="方正小标宋_GBK" w:cs="Times New Roman"/>
          <w:color w:val="auto"/>
          <w:sz w:val="44"/>
          <w:szCs w:val="44"/>
          <w:lang w:val="zh-CN"/>
        </w:rPr>
        <w:sectPr>
          <w:footerReference r:id="rId3" w:type="default"/>
          <w:pgSz w:w="11906" w:h="16838"/>
          <w:pgMar w:top="2098" w:right="1531" w:bottom="1984" w:left="1531" w:header="709" w:footer="1361"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0"/>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zh-CN"/>
        </w:rPr>
        <w:t>目</w:t>
      </w:r>
      <w:r>
        <w:rPr>
          <w:rFonts w:hint="default" w:ascii="Times New Roman" w:hAnsi="Times New Roman" w:eastAsia="方正小标宋_GBK" w:cs="Times New Roman"/>
          <w:color w:val="auto"/>
          <w:sz w:val="44"/>
          <w:szCs w:val="44"/>
          <w:lang w:val="en-US" w:eastAsia="zh-CN"/>
        </w:rPr>
        <w:t xml:space="preserve">  </w:t>
      </w:r>
      <w:r>
        <w:rPr>
          <w:rFonts w:hint="default" w:ascii="Times New Roman" w:hAnsi="Times New Roman" w:eastAsia="方正小标宋_GBK" w:cs="Times New Roman"/>
          <w:color w:val="auto"/>
          <w:sz w:val="44"/>
          <w:szCs w:val="44"/>
          <w:lang w:val="zh-CN"/>
        </w:rPr>
        <w:t>录</w:t>
      </w:r>
      <w:bookmarkEnd w:id="8"/>
      <w:bookmarkEnd w:id="9"/>
    </w:p>
    <w:sdt>
      <w:sdtPr>
        <w:rPr>
          <w:rFonts w:hint="default" w:ascii="Times New Roman" w:hAnsi="Times New Roman" w:eastAsia="宋体" w:cs="Times New Roman"/>
          <w:color w:val="auto"/>
          <w:kern w:val="2"/>
          <w:sz w:val="21"/>
          <w:szCs w:val="22"/>
          <w:lang w:val="en-US" w:eastAsia="zh-CN" w:bidi="ar-SA"/>
        </w:rPr>
        <w:id w:val="147472814"/>
        <w15:color w:val="DBDBDB"/>
        <w:docPartObj>
          <w:docPartGallery w:val="Table of Contents"/>
          <w:docPartUnique/>
        </w:docPartObj>
      </w:sdtPr>
      <w:sdtEndPr>
        <w:rPr>
          <w:rFonts w:hint="default" w:ascii="Times New Roman" w:hAnsi="Times New Roman" w:eastAsia="方正小标宋_GBK" w:cs="Times New Roman"/>
          <w:color w:val="auto"/>
          <w:kern w:val="2"/>
          <w:sz w:val="21"/>
          <w:szCs w:val="4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color w:val="auto"/>
            </w:rPr>
          </w:pP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textAlignment w:val="auto"/>
            <w:rPr>
              <w:rFonts w:hint="default" w:ascii="Times New Roman" w:hAnsi="Times New Roman" w:eastAsia="方正黑体_GBK" w:cs="Times New Roman"/>
              <w:color w:val="auto"/>
              <w:sz w:val="32"/>
              <w:szCs w:val="32"/>
            </w:rPr>
          </w:pPr>
          <w:r>
            <w:rPr>
              <w:rFonts w:hint="default" w:ascii="Times New Roman" w:hAnsi="Times New Roman" w:eastAsia="方正小标宋_GBK" w:cs="Times New Roman"/>
              <w:color w:val="auto"/>
              <w:sz w:val="44"/>
              <w:szCs w:val="44"/>
            </w:rPr>
            <w:fldChar w:fldCharType="begin"/>
          </w:r>
          <w:r>
            <w:rPr>
              <w:rFonts w:hint="default" w:ascii="Times New Roman" w:hAnsi="Times New Roman" w:eastAsia="方正小标宋_GBK" w:cs="Times New Roman"/>
              <w:color w:val="auto"/>
              <w:sz w:val="44"/>
              <w:szCs w:val="44"/>
            </w:rPr>
            <w:instrText xml:space="preserve">TOC \o "1-3" \h \u </w:instrText>
          </w:r>
          <w:r>
            <w:rPr>
              <w:rFonts w:hint="default" w:ascii="Times New Roman" w:hAnsi="Times New Roman" w:eastAsia="方正小标宋_GBK" w:cs="Times New Roman"/>
              <w:color w:val="auto"/>
              <w:sz w:val="44"/>
              <w:szCs w:val="44"/>
            </w:rPr>
            <w:fldChar w:fldCharType="separate"/>
          </w:r>
          <w:r>
            <w:rPr>
              <w:rFonts w:hint="default" w:ascii="Times New Roman" w:hAnsi="Times New Roman" w:eastAsia="方正黑体_GBK" w:cs="Times New Roman"/>
              <w:color w:val="auto"/>
              <w:sz w:val="32"/>
              <w:szCs w:val="32"/>
            </w:rPr>
            <w:fldChar w:fldCharType="begin"/>
          </w:r>
          <w:r>
            <w:rPr>
              <w:rFonts w:hint="default" w:ascii="Times New Roman" w:hAnsi="Times New Roman" w:eastAsia="方正黑体_GBK" w:cs="Times New Roman"/>
              <w:color w:val="auto"/>
              <w:sz w:val="32"/>
              <w:szCs w:val="32"/>
            </w:rPr>
            <w:instrText xml:space="preserve"> HYPERLINK \l _Toc20812 </w:instrText>
          </w:r>
          <w:r>
            <w:rPr>
              <w:rFonts w:hint="default" w:ascii="Times New Roman" w:hAnsi="Times New Roman" w:eastAsia="方正黑体_GBK" w:cs="Times New Roman"/>
              <w:color w:val="auto"/>
              <w:sz w:val="32"/>
              <w:szCs w:val="32"/>
            </w:rPr>
            <w:fldChar w:fldCharType="separate"/>
          </w:r>
          <w:r>
            <w:rPr>
              <w:rFonts w:hint="default" w:ascii="Times New Roman" w:hAnsi="Times New Roman" w:eastAsia="方正黑体_GBK" w:cs="Times New Roman"/>
              <w:color w:val="auto"/>
              <w:sz w:val="32"/>
              <w:szCs w:val="32"/>
            </w:rPr>
            <w:t>一、规划背景</w:t>
          </w:r>
          <w:r>
            <w:rPr>
              <w:rFonts w:hint="default" w:ascii="Times New Roman" w:hAnsi="Times New Roman" w:eastAsia="方正黑体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160" w:firstLineChars="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_Toc7041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（一）“十三五”时期卫生健康事业发展取得的成就</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_Toc9767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居民健康水平明显提高</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_Toc21843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卫生健康资源配置更加合理</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_Toc31142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rPr>
            <w:t>深化基层综合医改有序推进</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_Toc22938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4</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基层医疗服务体系不断完善</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_Toc27556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rPr>
            <w:t>5</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rPr>
            <w:t>公共卫生服务成效显著</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_Toc5574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rPr>
            <w:t>6</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rPr>
            <w:t>幸福家庭建设落实有力</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_Toc21707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rPr>
            <w:t>7</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rPr>
            <w:t>健康养老“天宁模式”全面启动</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_Toc1260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rPr>
            <w:t>8</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rPr>
            <w:t>基层卫生人才资源得以盘活</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_Toc31915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9</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中医药事业不断发展</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_Toc19967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rPr>
            <w:t>10</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rPr>
            <w:t>综合监督管理水平再上台阶</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160" w:firstLineChars="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_Toc32125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（二）“十四五”时期卫生健康事业发展面临的形势和挑战</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_Toc23810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rPr>
            <w:t>当前卫生健康事业发展面临的形势</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_Toc11049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sz w:val="32"/>
              <w:szCs w:val="32"/>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sz w:val="32"/>
              <w:szCs w:val="32"/>
            </w:rPr>
            <w:t>卫生健康事业发展面临的机遇与挑战</w:t>
          </w:r>
          <w:r>
            <w:rPr>
              <w:rFonts w:hint="default" w:ascii="Times New Roman" w:hAnsi="Times New Roman" w:eastAsia="方正仿宋_GBK" w:cs="Times New Roman"/>
              <w:color w:val="auto"/>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_Toc5760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黑体_GBK" w:cs="Times New Roman"/>
              <w:color w:val="auto"/>
              <w:sz w:val="32"/>
              <w:szCs w:val="32"/>
              <w:lang w:val="en-US" w:eastAsia="zh-CN"/>
            </w:rPr>
            <w:t>二、指导思想和发展目标</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160" w:firstLineChars="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_Toc16196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（一）指导思想</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160" w:firstLineChars="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_Toc14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（二）基本原则</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_Toc23066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lang w:val="en-US" w:eastAsia="zh-CN"/>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highlight w:val="none"/>
              <w:lang w:val="en-US" w:eastAsia="zh-CN"/>
            </w:rPr>
            <w:t>坚持把保障人民健康放在优先发展的战略位置</w:t>
          </w:r>
          <w:r>
            <w:rPr>
              <w:rFonts w:hint="default" w:ascii="Times New Roman" w:hAnsi="Times New Roman" w:eastAsia="方正仿宋_GBK" w:cs="Times New Roman"/>
              <w:color w:val="auto"/>
              <w:sz w:val="32"/>
              <w:szCs w:val="32"/>
              <w:highlight w:val="none"/>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_Toc19883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lang w:val="en-US" w:eastAsia="zh-CN"/>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highlight w:val="none"/>
              <w:lang w:val="en-US" w:eastAsia="zh-CN"/>
            </w:rPr>
            <w:t>坚持政府主导实现多元共同发展</w:t>
          </w:r>
          <w:r>
            <w:rPr>
              <w:rFonts w:hint="default" w:ascii="Times New Roman" w:hAnsi="Times New Roman" w:eastAsia="方正仿宋_GBK" w:cs="Times New Roman"/>
              <w:color w:val="auto"/>
              <w:sz w:val="32"/>
              <w:szCs w:val="32"/>
              <w:highlight w:val="none"/>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highlight w:val="none"/>
            </w:rPr>
            <w:sectPr>
              <w:footerReference r:id="rId4" w:type="default"/>
              <w:pgSz w:w="11906" w:h="16838"/>
              <w:pgMar w:top="2098" w:right="1531" w:bottom="1984" w:left="1531" w:header="709" w:footer="1361" w:gutter="0"/>
              <w:pgBorders>
                <w:top w:val="none" w:sz="0" w:space="0"/>
                <w:left w:val="none" w:sz="0" w:space="0"/>
                <w:bottom w:val="none" w:sz="0" w:space="0"/>
                <w:right w:val="none" w:sz="0" w:space="0"/>
              </w:pgBorders>
              <w:pgNumType w:fmt="decimal"/>
              <w:cols w:space="425" w:num="1"/>
              <w:docGrid w:type="lines" w:linePitch="312" w:charSpace="0"/>
            </w:sectPr>
          </w:pP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_Toc10505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lang w:val="en-US" w:eastAsia="zh-CN"/>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highlight w:val="none"/>
              <w:lang w:val="en-US" w:eastAsia="zh-CN"/>
            </w:rPr>
            <w:t>坚持以改革创新激发卫生健康事业活力</w:t>
          </w:r>
          <w:r>
            <w:rPr>
              <w:rFonts w:hint="default" w:ascii="Times New Roman" w:hAnsi="Times New Roman" w:eastAsia="方正仿宋_GBK" w:cs="Times New Roman"/>
              <w:color w:val="auto"/>
              <w:sz w:val="32"/>
              <w:szCs w:val="32"/>
              <w:highlight w:val="none"/>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rPr>
            <w:fldChar w:fldCharType="begin"/>
          </w:r>
          <w:r>
            <w:rPr>
              <w:rFonts w:hint="default" w:ascii="Times New Roman" w:hAnsi="Times New Roman" w:eastAsia="方正仿宋_GBK" w:cs="Times New Roman"/>
              <w:color w:val="auto"/>
              <w:sz w:val="32"/>
              <w:szCs w:val="32"/>
              <w:highlight w:val="none"/>
            </w:rPr>
            <w:instrText xml:space="preserve"> HYPERLINK \l _Toc814 </w:instrText>
          </w:r>
          <w:r>
            <w:rPr>
              <w:rFonts w:hint="default" w:ascii="Times New Roman" w:hAnsi="Times New Roman" w:eastAsia="方正仿宋_GBK" w:cs="Times New Roman"/>
              <w:color w:val="auto"/>
              <w:sz w:val="32"/>
              <w:szCs w:val="32"/>
              <w:highlight w:val="none"/>
            </w:rPr>
            <w:fldChar w:fldCharType="separate"/>
          </w:r>
          <w:r>
            <w:rPr>
              <w:rFonts w:hint="default" w:ascii="Times New Roman" w:hAnsi="Times New Roman" w:eastAsia="方正仿宋_GBK" w:cs="Times New Roman"/>
              <w:color w:val="auto"/>
              <w:sz w:val="32"/>
              <w:szCs w:val="32"/>
              <w:highlight w:val="none"/>
              <w:lang w:val="en-US" w:eastAsia="zh-CN"/>
            </w:rPr>
            <w:t>4</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highlight w:val="none"/>
              <w:lang w:val="en-US" w:eastAsia="zh-CN"/>
            </w:rPr>
            <w:t>坚持补短板强弱项</w:t>
          </w:r>
          <w:r>
            <w:rPr>
              <w:rFonts w:hint="default" w:ascii="Times New Roman" w:hAnsi="Times New Roman" w:eastAsia="方正仿宋_GBK" w:cs="Times New Roman"/>
              <w:color w:val="auto"/>
              <w:sz w:val="32"/>
              <w:szCs w:val="32"/>
              <w:highlight w:val="none"/>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80" w:firstLineChars="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_Toc17589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（三）规划目标</w:t>
          </w:r>
          <w:r>
            <w:rPr>
              <w:rFonts w:hint="default" w:ascii="Times New Roman" w:hAnsi="Times New Roman" w:eastAsia="方正仿宋_GBK" w:cs="Times New Roman"/>
              <w:color w:val="auto"/>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_Toc4650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黑体_GBK" w:cs="Times New Roman"/>
              <w:color w:val="auto"/>
              <w:sz w:val="32"/>
              <w:szCs w:val="32"/>
              <w:lang w:val="en-US" w:eastAsia="zh-CN"/>
            </w:rPr>
            <w:t>三、主要任务与重点工作</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80" w:firstLineChars="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_Toc11743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（一）优化医疗卫生体系结构和功能布局</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_Toc24559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kern w:val="0"/>
              <w:sz w:val="32"/>
              <w:szCs w:val="32"/>
              <w:lang w:val="en-US" w:eastAsia="zh-CN" w:bidi="ar-SA"/>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kern w:val="0"/>
              <w:sz w:val="32"/>
              <w:szCs w:val="32"/>
              <w:lang w:val="en-US" w:eastAsia="zh-CN" w:bidi="ar-SA"/>
            </w:rPr>
            <w:t>合理规划，持续优化区域医疗资源配置</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_Toc17891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kern w:val="0"/>
              <w:sz w:val="32"/>
              <w:szCs w:val="32"/>
              <w:lang w:val="en-US" w:eastAsia="zh-CN" w:bidi="ar-SA"/>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kern w:val="0"/>
              <w:sz w:val="32"/>
              <w:szCs w:val="32"/>
              <w:lang w:val="en-US" w:eastAsia="zh-CN" w:bidi="ar-SA"/>
            </w:rPr>
            <w:t>整合资源，提高医疗机构综合竞争力</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_Toc15502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kern w:val="0"/>
              <w:sz w:val="32"/>
              <w:szCs w:val="32"/>
              <w:lang w:val="en-US" w:eastAsia="zh-CN" w:bidi="ar-SA"/>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kern w:val="0"/>
              <w:sz w:val="32"/>
              <w:szCs w:val="32"/>
              <w:lang w:val="en-US" w:eastAsia="zh-CN" w:bidi="ar-SA"/>
            </w:rPr>
            <w:t>调整规模，引导社会办医规范发展</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80" w:firstLineChars="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_Toc18468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（二）完善卫生健康服务体系</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_Toc23312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kern w:val="0"/>
              <w:sz w:val="32"/>
              <w:szCs w:val="32"/>
              <w:lang w:val="en-US" w:eastAsia="zh-CN" w:bidi="ar-SA"/>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kern w:val="0"/>
              <w:sz w:val="32"/>
              <w:szCs w:val="32"/>
              <w:lang w:val="en-US" w:eastAsia="zh-CN" w:bidi="ar-SA"/>
            </w:rPr>
            <w:t>完善分级诊疗制度</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_Toc13302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kern w:val="0"/>
              <w:sz w:val="32"/>
              <w:szCs w:val="32"/>
              <w:lang w:val="en-US" w:eastAsia="zh-CN" w:bidi="ar-SA"/>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kern w:val="0"/>
              <w:sz w:val="32"/>
              <w:szCs w:val="32"/>
              <w:lang w:val="en-US" w:eastAsia="zh-CN" w:bidi="ar-SA"/>
            </w:rPr>
            <w:t>强化医联体核心竞争力</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_Toc7222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kern w:val="0"/>
              <w:sz w:val="32"/>
              <w:szCs w:val="32"/>
              <w:lang w:val="en-US" w:eastAsia="zh-CN" w:bidi="ar-SA"/>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kern w:val="0"/>
              <w:sz w:val="32"/>
              <w:szCs w:val="32"/>
              <w:lang w:val="en-US" w:eastAsia="zh-CN" w:bidi="ar-SA"/>
            </w:rPr>
            <w:t>提升基层服务能力</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_Toc21193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kern w:val="0"/>
              <w:sz w:val="32"/>
              <w:szCs w:val="32"/>
              <w:lang w:val="en-US" w:eastAsia="zh-CN" w:bidi="ar-SA"/>
            </w:rPr>
            <w:t>4</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kern w:val="0"/>
              <w:sz w:val="32"/>
              <w:szCs w:val="32"/>
              <w:lang w:val="en-US" w:eastAsia="zh-CN" w:bidi="ar-SA"/>
            </w:rPr>
            <w:t>持续改善医疗服务</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80" w:firstLineChars="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_Toc18568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（三）构建现代化公共卫生体系</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_Toc9368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开展健康生活方式管理</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_Toc31603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持续推进国家基本公共卫生项目</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_Toc3310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加强新发、突发、重大传染病防治</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_Toc20681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实施慢性病综合防控</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_Toc11521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5</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加强妇幼卫生保健和生育服务</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_Toc12009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6</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探索婴幼儿照护、托育服务新模式</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_Toc31666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实施打造生育友好型社会新举措</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_Toc6983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8</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完善公共卫生应急管理体系</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80" w:firstLineChars="25"/>
            <w:textAlignment w:val="auto"/>
            <w:rPr>
              <w:rFonts w:hint="default" w:ascii="Times New Roman" w:hAnsi="Times New Roman" w:eastAsia="方正仿宋_GBK" w:cs="Times New Roman"/>
              <w:color w:val="auto"/>
              <w:sz w:val="32"/>
              <w:szCs w:val="32"/>
            </w:rPr>
            <w:sectPr>
              <w:footerReference r:id="rId5" w:type="default"/>
              <w:pgSz w:w="11906" w:h="16838"/>
              <w:pgMar w:top="2098" w:right="1531" w:bottom="1984" w:left="1531" w:header="709" w:footer="1361" w:gutter="0"/>
              <w:pgBorders>
                <w:top w:val="none" w:sz="0" w:space="0"/>
                <w:left w:val="none" w:sz="0" w:space="0"/>
                <w:bottom w:val="none" w:sz="0" w:space="0"/>
                <w:right w:val="none" w:sz="0" w:space="0"/>
              </w:pgBorders>
              <w:pgNumType w:fmt="decimal"/>
              <w:cols w:space="425" w:num="1"/>
              <w:docGrid w:type="lines" w:linePitch="312" w:charSpace="0"/>
            </w:sectPr>
          </w:pP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80" w:firstLineChars="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_Toc29294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（四）健全老年健康服务体系</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_Toc13369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制订加强老年健康服务体系建设相关指导意见</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_Toc7753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pacing w:val="-11"/>
              <w:sz w:val="32"/>
              <w:szCs w:val="32"/>
            </w:rPr>
            <w:t>整合优化基层医疗卫生机构的老年医养康护等功能建设</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_Toc564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建立健全老年医疗卫生服务体系</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_Toc7886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推进医疗卫生与养老服务融合发展</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_Toc9181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5</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以需求为导向，利用人工智能助力健康养老发展</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_Toc10319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6</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加强老年关爱，构建老年友好环境</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_Toc13198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rPr>
            <w:t>7</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切实加强老年健康服务人员队伍建设</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80" w:firstLineChars="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_Toc3518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（五）推动中医药事业振兴发展</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_Toc31315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优化中医药资源配置</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_Toc13915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加强中医药服务能力建设</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_Toc25436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繁荣发展中医药文化</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80" w:firstLineChars="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_Toc17847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（六）加强人才队伍建设</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_Toc31869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优化人才队伍规模和结构</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_Toc12504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kern w:val="0"/>
              <w:sz w:val="32"/>
              <w:szCs w:val="32"/>
              <w:lang w:val="en-US" w:eastAsia="zh-CN" w:bidi="ar-SA"/>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kern w:val="0"/>
              <w:sz w:val="32"/>
              <w:szCs w:val="32"/>
              <w:lang w:val="en-US" w:eastAsia="zh-CN" w:bidi="ar-SA"/>
            </w:rPr>
            <w:t>组织实施基层卫生“人才强基”工程</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_Toc29493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kern w:val="0"/>
              <w:sz w:val="32"/>
              <w:szCs w:val="32"/>
              <w:lang w:val="en-US" w:eastAsia="zh-CN" w:bidi="ar-SA"/>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kern w:val="0"/>
              <w:sz w:val="32"/>
              <w:szCs w:val="32"/>
              <w:lang w:val="en-US" w:eastAsia="zh-CN" w:bidi="ar-SA"/>
            </w:rPr>
            <w:t>完善激励政策</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80" w:firstLineChars="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_Toc4486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（七）加强监督执法体系建设</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_Toc15176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bCs/>
              <w:color w:val="auto"/>
              <w:kern w:val="0"/>
              <w:sz w:val="32"/>
              <w:szCs w:val="32"/>
              <w:lang w:val="en-US" w:eastAsia="zh-CN" w:bidi="ar-SA"/>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Cs/>
              <w:color w:val="auto"/>
              <w:kern w:val="0"/>
              <w:sz w:val="32"/>
              <w:szCs w:val="32"/>
              <w:lang w:val="en-US" w:eastAsia="zh-CN" w:bidi="ar-SA"/>
            </w:rPr>
            <w:t>加强卫生健康执法监督体系建设</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_Toc20752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建立健全医疗卫生行业综合监管制度</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_Toc13057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3</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创新监管手段</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80" w:firstLineChars="25"/>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_Toc19965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（八）构建智慧健康服务体系</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_Toc31372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推进医疗卫生服务信息化</w:t>
          </w:r>
          <w:r>
            <w:rPr>
              <w:rFonts w:hint="default" w:ascii="Times New Roman" w:hAnsi="Times New Roman" w:eastAsia="方正仿宋_GBK" w:cs="Times New Roman"/>
              <w:color w:val="auto"/>
              <w:sz w:val="32"/>
              <w:szCs w:val="32"/>
            </w:rPr>
            <w:fldChar w:fldCharType="end"/>
          </w:r>
        </w:p>
        <w:p>
          <w:pPr>
            <w:pStyle w:val="7"/>
            <w:keepNext w:val="0"/>
            <w:keepLines w:val="0"/>
            <w:pageBreakBefore w:val="0"/>
            <w:widowControl w:val="0"/>
            <w:tabs>
              <w:tab w:val="right" w:leader="dot" w:pos="8844"/>
            </w:tabs>
            <w:kinsoku/>
            <w:wordWrap/>
            <w:overflowPunct/>
            <w:topLinePunct w:val="0"/>
            <w:autoSpaceDE/>
            <w:autoSpaceDN/>
            <w:bidi w:val="0"/>
            <w:adjustRightInd/>
            <w:snapToGrid/>
            <w:spacing w:line="550" w:lineRule="exact"/>
            <w:ind w:left="0"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_Toc31882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lang w:val="en-US" w:eastAsia="zh-CN"/>
            </w:rPr>
            <w:t>打造智慧化健康服务体系</w:t>
          </w:r>
          <w:r>
            <w:rPr>
              <w:rFonts w:hint="default" w:ascii="Times New Roman" w:hAnsi="Times New Roman" w:eastAsia="方正仿宋_GBK" w:cs="Times New Roman"/>
              <w:color w:val="auto"/>
              <w:sz w:val="32"/>
              <w:szCs w:val="32"/>
            </w:rPr>
            <w:fldChar w:fldCharType="end"/>
          </w: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textAlignment w:val="auto"/>
            <w:rPr>
              <w:rFonts w:hint="default" w:ascii="Times New Roman" w:hAnsi="Times New Roman" w:eastAsia="方正仿宋_GBK" w:cs="Times New Roman"/>
              <w:color w:val="auto"/>
              <w:sz w:val="32"/>
              <w:szCs w:val="32"/>
            </w:rPr>
            <w:sectPr>
              <w:footerReference r:id="rId6" w:type="default"/>
              <w:pgSz w:w="11906" w:h="16838"/>
              <w:pgMar w:top="2098" w:right="1531" w:bottom="1984" w:left="1531" w:header="709" w:footer="1361" w:gutter="0"/>
              <w:pgBorders>
                <w:top w:val="none" w:sz="0" w:space="0"/>
                <w:left w:val="none" w:sz="0" w:space="0"/>
                <w:bottom w:val="none" w:sz="0" w:space="0"/>
                <w:right w:val="none" w:sz="0" w:space="0"/>
              </w:pgBorders>
              <w:pgNumType w:fmt="decimal"/>
              <w:cols w:space="425" w:num="1"/>
              <w:docGrid w:type="lines" w:linePitch="312" w:charSpace="0"/>
            </w:sectPr>
          </w:pPr>
        </w:p>
        <w:p>
          <w:pPr>
            <w:pStyle w:val="11"/>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_Toc7940 </w:instrText>
          </w:r>
          <w:r>
            <w:rPr>
              <w:rFonts w:hint="default" w:ascii="Times New Roman" w:hAnsi="Times New Roman" w:eastAsia="方正仿宋_GBK" w:cs="Times New Roman"/>
              <w:color w:val="auto"/>
              <w:sz w:val="32"/>
              <w:szCs w:val="32"/>
            </w:rPr>
            <w:fldChar w:fldCharType="separate"/>
          </w:r>
          <w:r>
            <w:rPr>
              <w:rFonts w:hint="default" w:ascii="Times New Roman" w:hAnsi="Times New Roman" w:eastAsia="方正黑体_GBK" w:cs="Times New Roman"/>
              <w:color w:val="auto"/>
              <w:sz w:val="32"/>
              <w:szCs w:val="32"/>
              <w:lang w:val="en-US" w:eastAsia="zh-CN"/>
            </w:rPr>
            <w:t>四、保障措施</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160" w:firstLineChars="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_Toc16361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（一）加强组织领</w:t>
          </w:r>
          <w:r>
            <w:rPr>
              <w:rFonts w:hint="default" w:ascii="Times New Roman" w:hAnsi="Times New Roman" w:eastAsia="方正仿宋_GBK" w:cs="Times New Roman"/>
              <w:color w:val="auto"/>
              <w:sz w:val="32"/>
              <w:szCs w:val="32"/>
              <w:lang w:val="en-US" w:eastAsia="zh-CN"/>
            </w:rPr>
            <w:t>导</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160" w:firstLineChars="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_Toc32563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（二）形成工作合力</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160" w:firstLineChars="5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_Toc27286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（三）加强财政保障</w:t>
          </w:r>
          <w:r>
            <w:rPr>
              <w:rFonts w:hint="default" w:ascii="Times New Roman" w:hAnsi="Times New Roman" w:eastAsia="方正仿宋_GBK" w:cs="Times New Roman"/>
              <w:color w:val="auto"/>
              <w:sz w:val="32"/>
              <w:szCs w:val="32"/>
            </w:rPr>
            <w:fldChar w:fldCharType="end"/>
          </w:r>
        </w:p>
        <w:p>
          <w:pPr>
            <w:pStyle w:val="2"/>
            <w:keepNext w:val="0"/>
            <w:keepLines w:val="0"/>
            <w:pageBreakBefore w:val="0"/>
            <w:widowControl w:val="0"/>
            <w:tabs>
              <w:tab w:val="right" w:leader="dot" w:pos="8844"/>
            </w:tabs>
            <w:kinsoku/>
            <w:wordWrap/>
            <w:overflowPunct/>
            <w:topLinePunct w:val="0"/>
            <w:autoSpaceDE/>
            <w:autoSpaceDN/>
            <w:bidi w:val="0"/>
            <w:adjustRightInd/>
            <w:snapToGrid/>
            <w:spacing w:line="570" w:lineRule="exact"/>
            <w:ind w:left="0" w:firstLine="160" w:firstLineChars="50"/>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仿宋_GBK" w:cs="Times New Roman"/>
              <w:color w:val="auto"/>
              <w:sz w:val="32"/>
              <w:szCs w:val="32"/>
            </w:rPr>
            <w:fldChar w:fldCharType="begin"/>
          </w:r>
          <w:r>
            <w:rPr>
              <w:rFonts w:hint="default" w:ascii="Times New Roman" w:hAnsi="Times New Roman" w:eastAsia="方正仿宋_GBK" w:cs="Times New Roman"/>
              <w:color w:val="auto"/>
              <w:sz w:val="32"/>
              <w:szCs w:val="32"/>
            </w:rPr>
            <w:instrText xml:space="preserve"> HYPERLINK \l _Toc16152 </w:instrText>
          </w:r>
          <w:r>
            <w:rPr>
              <w:rFonts w:hint="default" w:ascii="Times New Roman" w:hAnsi="Times New Roman" w:eastAsia="方正仿宋_GBK" w:cs="Times New Roman"/>
              <w:color w:val="auto"/>
              <w:sz w:val="32"/>
              <w:szCs w:val="32"/>
            </w:rPr>
            <w:fldChar w:fldCharType="separate"/>
          </w:r>
          <w:r>
            <w:rPr>
              <w:rStyle w:val="15"/>
              <w:rFonts w:hint="default" w:ascii="Times New Roman" w:hAnsi="Times New Roman" w:eastAsia="方正楷体_GBK" w:cs="Times New Roman"/>
              <w:color w:val="auto"/>
              <w:sz w:val="32"/>
              <w:szCs w:val="32"/>
              <w:u w:val="none"/>
              <w:lang w:val="en-US" w:eastAsia="zh-CN"/>
            </w:rPr>
            <w:t>（四）强化规划的执行与监督评价</w:t>
          </w:r>
          <w:r>
            <w:rPr>
              <w:rFonts w:hint="default" w:ascii="Times New Roman" w:hAnsi="Times New Roman" w:eastAsia="方正仿宋_GBK" w:cs="Times New Roman"/>
              <w:color w:val="auto"/>
              <w:sz w:val="32"/>
              <w:szCs w:val="32"/>
            </w:rPr>
            <w:fldChar w:fldCharType="end"/>
          </w:r>
          <w:r>
            <w:rPr>
              <w:rFonts w:hint="default" w:ascii="Times New Roman" w:hAnsi="Times New Roman" w:eastAsia="方正小标宋_GBK" w:cs="Times New Roman"/>
              <w:color w:val="auto"/>
              <w:szCs w:val="44"/>
            </w:rPr>
            <w:fldChar w:fldCharType="end"/>
          </w:r>
        </w:p>
      </w:sdtContent>
    </w:sdt>
    <w:p>
      <w:pPr>
        <w:rPr>
          <w:rFonts w:hint="default" w:ascii="Times New Roman" w:hAnsi="Times New Roman" w:eastAsia="方正小标宋_GBK" w:cs="Times New Roman"/>
          <w:color w:val="auto"/>
          <w:sz w:val="44"/>
          <w:szCs w:val="44"/>
        </w:rPr>
      </w:pPr>
    </w:p>
    <w:p>
      <w:pPr>
        <w:pStyle w:val="2"/>
        <w:rPr>
          <w:rFonts w:hint="default" w:ascii="Times New Roman" w:hAnsi="Times New Roman" w:eastAsia="方正小标宋_GBK" w:cs="Times New Roman"/>
          <w:color w:val="auto"/>
          <w:sz w:val="44"/>
          <w:szCs w:val="44"/>
        </w:rPr>
      </w:pPr>
    </w:p>
    <w:p>
      <w:pPr>
        <w:rPr>
          <w:rFonts w:hint="default" w:ascii="Times New Roman" w:hAnsi="Times New Roman" w:eastAsia="方正小标宋_GBK" w:cs="Times New Roman"/>
          <w:color w:val="auto"/>
          <w:sz w:val="44"/>
          <w:szCs w:val="44"/>
        </w:rPr>
      </w:pPr>
    </w:p>
    <w:p>
      <w:pPr>
        <w:pStyle w:val="2"/>
        <w:rPr>
          <w:rFonts w:hint="default" w:ascii="Times New Roman" w:hAnsi="Times New Roman" w:eastAsia="方正小标宋_GBK" w:cs="Times New Roman"/>
          <w:color w:val="auto"/>
          <w:sz w:val="44"/>
          <w:szCs w:val="44"/>
        </w:rPr>
      </w:pPr>
    </w:p>
    <w:p>
      <w:pPr>
        <w:rPr>
          <w:rFonts w:hint="default" w:ascii="Times New Roman" w:hAnsi="Times New Roman" w:cs="Times New Roman"/>
          <w:color w:val="auto"/>
        </w:rPr>
        <w:sectPr>
          <w:footerReference r:id="rId7" w:type="default"/>
          <w:pgSz w:w="11906" w:h="16838"/>
          <w:pgMar w:top="2098" w:right="1531" w:bottom="1984" w:left="1531" w:header="709" w:footer="1361"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0"/>
        <w:rPr>
          <w:rFonts w:hint="eastAsia" w:ascii="方正小标宋_GBK" w:hAnsi="方正小标宋_GBK" w:eastAsia="方正小标宋_GBK" w:cs="方正小标宋_GBK"/>
          <w:color w:val="auto"/>
          <w:sz w:val="44"/>
          <w:szCs w:val="44"/>
        </w:rPr>
      </w:pPr>
      <w:bookmarkStart w:id="10" w:name="_Toc20570"/>
      <w:r>
        <w:rPr>
          <w:rFonts w:hint="eastAsia" w:ascii="方正小标宋_GBK" w:hAnsi="方正小标宋_GBK" w:eastAsia="方正小标宋_GBK" w:cs="方正小标宋_GBK"/>
          <w:color w:val="auto"/>
          <w:sz w:val="44"/>
          <w:szCs w:val="44"/>
        </w:rPr>
        <w:t>常州市天宁区“十四五”卫生健康事业</w:t>
      </w:r>
      <w:bookmarkEnd w:id="10"/>
    </w:p>
    <w:p>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outlineLvl w:val="0"/>
        <w:rPr>
          <w:rFonts w:hint="eastAsia" w:ascii="方正小标宋_GBK" w:hAnsi="方正小标宋_GBK" w:eastAsia="方正小标宋_GBK" w:cs="方正小标宋_GBK"/>
          <w:color w:val="auto"/>
          <w:sz w:val="44"/>
          <w:szCs w:val="44"/>
        </w:rPr>
      </w:pPr>
      <w:bookmarkStart w:id="11" w:name="_Toc15072"/>
      <w:r>
        <w:rPr>
          <w:rFonts w:hint="eastAsia" w:ascii="方正小标宋_GBK" w:hAnsi="方正小标宋_GBK" w:eastAsia="方正小标宋_GBK" w:cs="方正小标宋_GBK"/>
          <w:color w:val="auto"/>
          <w:sz w:val="44"/>
          <w:szCs w:val="44"/>
        </w:rPr>
        <w:t>发展规划</w:t>
      </w:r>
      <w:bookmarkEnd w:id="11"/>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方正仿宋_GBK" w:cs="Times New Roman"/>
          <w:b/>
          <w:bCs/>
          <w:color w:val="auto"/>
          <w:sz w:val="32"/>
          <w:szCs w:val="32"/>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“十四五”时期是我国全面建成小康社会、实现第一个百年奋斗目标之后，乘势而上开启全面建设社会主义现代化国家新征程、向第二个百年奋斗目标进军的第一个五年</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我国上下都将进入新发展阶段。“十四五”时期，亦是常州市天宁区高质量建设与发展全区现代化卫生健康体系的关键期；完善创新各项机制、体制的窗口期，全面推广健康天宁改革经验的机遇期。因此，以“十四五”时期经济社会发展指导思想为必须遵循的重要原则，坚持党的全面领导，坚持以人民为中心，坚持新发展理念，坚持深化改革开放，坚持系统观念，科学编制我区“十四五”卫生健康事业发展规划，对提升天宁区群众共享现代化治国理念、民主发展成果的获得感和幸福感具有重要意义。</w:t>
      </w:r>
    </w:p>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b w:val="0"/>
          <w:bCs/>
          <w:color w:val="auto"/>
        </w:rPr>
      </w:pPr>
      <w:bookmarkStart w:id="12" w:name="_Toc20812"/>
      <w:bookmarkStart w:id="13" w:name="_Toc68722382"/>
      <w:r>
        <w:rPr>
          <w:rFonts w:hint="default" w:ascii="Times New Roman" w:hAnsi="Times New Roman" w:eastAsia="方正黑体_GBK" w:cs="Times New Roman"/>
          <w:b w:val="0"/>
          <w:bCs/>
          <w:color w:val="auto"/>
        </w:rPr>
        <w:t>一、规划背景</w:t>
      </w:r>
      <w:bookmarkEnd w:id="12"/>
      <w:bookmarkEnd w:id="13"/>
    </w:p>
    <w:p>
      <w:pPr>
        <w:pStyle w:val="4"/>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楷体_GBK" w:cs="Times New Roman"/>
          <w:b w:val="0"/>
          <w:bCs w:val="0"/>
          <w:color w:val="auto"/>
          <w:sz w:val="32"/>
          <w:szCs w:val="32"/>
        </w:rPr>
      </w:pPr>
      <w:bookmarkStart w:id="14" w:name="_Toc7041"/>
      <w:bookmarkStart w:id="15" w:name="_Toc68722383"/>
      <w:r>
        <w:rPr>
          <w:rFonts w:hint="default" w:ascii="Times New Roman" w:hAnsi="Times New Roman" w:eastAsia="方正楷体_GBK" w:cs="Times New Roman"/>
          <w:b w:val="0"/>
          <w:bCs w:val="0"/>
          <w:color w:val="auto"/>
          <w:sz w:val="32"/>
          <w:szCs w:val="32"/>
        </w:rPr>
        <w:t>（一）“十三五”时期卫生健康事业发展取得的成就</w:t>
      </w:r>
      <w:bookmarkEnd w:id="14"/>
      <w:bookmarkEnd w:id="15"/>
    </w:p>
    <w:p>
      <w:pPr>
        <w:pStyle w:val="5"/>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Times New Roman" w:hAnsi="Times New Roman" w:eastAsia="方正仿宋_GBK" w:cs="Times New Roman"/>
          <w:color w:val="auto"/>
          <w:lang w:val="en-US" w:eastAsia="zh-CN"/>
        </w:rPr>
      </w:pPr>
      <w:bookmarkStart w:id="16" w:name="_Toc68722384"/>
      <w:bookmarkStart w:id="17" w:name="_Toc9767"/>
      <w:r>
        <w:rPr>
          <w:rFonts w:hint="default" w:ascii="Times New Roman" w:hAnsi="Times New Roman" w:cs="Times New Roman"/>
          <w:color w:val="auto"/>
        </w:rPr>
        <w:t>1</w:t>
      </w:r>
      <w:r>
        <w:rPr>
          <w:rFonts w:hint="eastAsia" w:cs="Times New Roman"/>
          <w:color w:val="auto"/>
          <w:lang w:val="en-US" w:eastAsia="zh-CN"/>
        </w:rPr>
        <w:t xml:space="preserve">. </w:t>
      </w:r>
      <w:r>
        <w:rPr>
          <w:rFonts w:hint="default" w:ascii="Times New Roman" w:hAnsi="Times New Roman" w:cs="Times New Roman"/>
          <w:color w:val="auto"/>
        </w:rPr>
        <w:t>居民健康水平明显提高</w:t>
      </w:r>
      <w:bookmarkEnd w:id="16"/>
      <w:bookmarkEnd w:id="17"/>
      <w:r>
        <w:rPr>
          <w:rFonts w:hint="eastAsia" w:cs="Times New Roman"/>
          <w:color w:val="auto"/>
          <w:lang w:val="en-US" w:eastAsia="zh-CN"/>
        </w:rPr>
        <w:t xml:space="preserve"> </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三五”以来，天宁区认真落实《常州市国民经济和社会发展第十三个五年规划纲要》和《常州市“十三五”卫生与健康发展规划》，秉承以“没有全民健康，就没有全面小康”的奋斗宗旨，有效增加医疗服务资源供给、创优公共卫生服务方式，稳步推进健康天宁建设，城乡群众看病就医的获得感、满意度显著提升，“十三五”末，全区共建有医疗卫生单位193家，其中卫生院2家，社区卫生服务中心7家（其中1家非政府办），社区卫生服务站29家（其中19家非政府办），村卫生室17家，各类门诊部、诊所、医务室136家。全区政府办基层医疗卫生机构共核定编制486个，在编在岗人员432人，卫技人员364人，卫技人员占比84.26%，其中高级职称31人，占比8.51%，中级职称176人，占比48.35%。“十三五”末，全区婴儿死亡率2.45‰，5岁以下儿童死亡率3.67‰，孕产妇死亡率0.03/10万（2019年为2人）。</w:t>
      </w:r>
    </w:p>
    <w:p>
      <w:pPr>
        <w:pStyle w:val="5"/>
        <w:keepNext w:val="0"/>
        <w:keepLines w:val="0"/>
        <w:pageBreakBefore w:val="0"/>
        <w:wordWrap/>
        <w:overflowPunct/>
        <w:topLinePunct w:val="0"/>
        <w:bidi w:val="0"/>
        <w:spacing w:line="570" w:lineRule="exact"/>
        <w:rPr>
          <w:rFonts w:hint="default" w:ascii="Times New Roman" w:hAnsi="Times New Roman" w:cs="Times New Roman"/>
          <w:color w:val="auto"/>
        </w:rPr>
      </w:pPr>
      <w:bookmarkStart w:id="18" w:name="_Toc21843"/>
      <w:bookmarkStart w:id="19" w:name="_Toc68722385"/>
      <w:r>
        <w:rPr>
          <w:rFonts w:hint="default" w:ascii="Times New Roman" w:hAnsi="Times New Roman" w:cs="Times New Roman"/>
          <w:color w:val="auto"/>
        </w:rPr>
        <w:t>2</w:t>
      </w:r>
      <w:r>
        <w:rPr>
          <w:rFonts w:hint="eastAsia" w:cs="Times New Roman"/>
          <w:color w:val="auto"/>
          <w:lang w:val="en-US" w:eastAsia="zh-CN"/>
        </w:rPr>
        <w:t xml:space="preserve">. </w:t>
      </w:r>
      <w:r>
        <w:rPr>
          <w:rFonts w:hint="default" w:ascii="Times New Roman" w:hAnsi="Times New Roman" w:cs="Times New Roman"/>
          <w:color w:val="auto"/>
        </w:rPr>
        <w:t>卫生健康资源配置更加合理</w:t>
      </w:r>
      <w:bookmarkEnd w:id="18"/>
      <w:bookmarkEnd w:id="19"/>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“十三五”以来，全区围绕三城一镇发展规划，科学统筹区域医疗资源，制定《天宁区基层医疗卫生机构设置规划（2018</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2020）》，以调整布局结构、提升能级为主线，适度有序发展，强化薄弱环节，合理确定各级各类医疗卫生机构的职能以及数量、规模及布局。“十三五”期间，完成天宁街道社区卫生服务中心基本医疗门诊装修工程、兰陵街道社区卫生服务中心装饰改造工程，完成区公共卫生服务中心项目建设工程。推动郑陆镇卫生院病房综合大楼新建项目、雕庄街道社区卫生服务中心新建、红梅街道社区卫生服务中心改扩建项目。青龙街道社区卫生服务中心顺利通过省卫生健康委现场评审，被确认为江苏省社区医院，全区基层医疗卫生机构的基础设施建设得到了显著提升。</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区大力实施“将健康融入所有”策略，找准切入点，打造“健康小屋自助化”、“戒烟门诊特色化”、“家庭医生签约智能化”、“健康产业集聚化”、“健康教育专业化”等健康天宁模式。已经建设省级健康村/社区51个，健康促进医院7家、健康促进机关7家、健康促进企业4家、健康主题公园9个、健康步道26条。创新资源整合，以健康问题为导向，部门职能为基础，在全区建立“健康桥——手携手”活动机制，联动发现健康问题，联动解决健康问题。2018年成功创成国家级健康促进区，建设经验被省爱卫办作为优秀案例推荐至国家爱卫办。2019年12月被省卫健委评为健康江苏示范点，评审成绩位列全省第3名。</w:t>
      </w:r>
    </w:p>
    <w:p>
      <w:pPr>
        <w:pStyle w:val="5"/>
        <w:keepNext w:val="0"/>
        <w:keepLines w:val="0"/>
        <w:pageBreakBefore w:val="0"/>
        <w:kinsoku/>
        <w:wordWrap/>
        <w:overflowPunct/>
        <w:topLinePunct w:val="0"/>
        <w:bidi w:val="0"/>
        <w:spacing w:line="570" w:lineRule="exact"/>
        <w:ind w:firstLine="643" w:firstLineChars="200"/>
        <w:jc w:val="both"/>
        <w:textAlignment w:val="auto"/>
        <w:rPr>
          <w:rFonts w:hint="default" w:ascii="Times New Roman" w:hAnsi="Times New Roman" w:eastAsia="方正仿宋_GBK" w:cs="Times New Roman"/>
          <w:b/>
          <w:bCs/>
          <w:color w:val="auto"/>
          <w:sz w:val="32"/>
          <w:szCs w:val="32"/>
        </w:rPr>
      </w:pPr>
      <w:bookmarkStart w:id="20" w:name="_Toc68722386"/>
      <w:bookmarkStart w:id="21" w:name="_Toc31142"/>
      <w:r>
        <w:rPr>
          <w:rFonts w:hint="default" w:ascii="Times New Roman" w:hAnsi="Times New Roman" w:eastAsia="方正仿宋_GBK" w:cs="Times New Roman"/>
          <w:b/>
          <w:bCs/>
          <w:color w:val="auto"/>
          <w:sz w:val="32"/>
          <w:szCs w:val="32"/>
        </w:rPr>
        <w:t>3</w:t>
      </w:r>
      <w:r>
        <w:rPr>
          <w:rFonts w:hint="eastAsia" w:cs="Times New Roman"/>
          <w:color w:val="auto"/>
          <w:lang w:val="en-US" w:eastAsia="zh-CN"/>
        </w:rPr>
        <w:t xml:space="preserve">. </w:t>
      </w:r>
      <w:r>
        <w:rPr>
          <w:rFonts w:hint="default" w:ascii="Times New Roman" w:hAnsi="Times New Roman" w:eastAsia="方正仿宋_GBK" w:cs="Times New Roman"/>
          <w:b/>
          <w:bCs/>
          <w:color w:val="auto"/>
          <w:sz w:val="32"/>
          <w:szCs w:val="32"/>
        </w:rPr>
        <w:t>深化基层综合医改有序推进</w:t>
      </w:r>
      <w:bookmarkEnd w:id="20"/>
      <w:bookmarkEnd w:id="21"/>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2017年9月，区委区政府下发《关于深化基层医疗卫生机构管理运行体制改革的实施意见（试行）》（常天委〔2017〕61号），实行全区统一的卫生管理体制。2018年起，全面启动建设品质新卫生行动，实施健康天宁“321”行动计划，纵深推进“以区为主，条块结合”的统一协调基层医疗卫生机构管理新机制，实施人事、财务、药品、绩效、信息化“五个统一”管理模式，在提高基层医疗水平和为民服务能力上取得了积极成效。</w:t>
      </w:r>
      <w:r>
        <w:rPr>
          <w:rFonts w:hint="default" w:ascii="Times New Roman" w:hAnsi="Times New Roman" w:eastAsia="方正仿宋_GBK" w:cs="Times New Roman"/>
          <w:b/>
          <w:bCs/>
          <w:color w:val="auto"/>
          <w:sz w:val="32"/>
          <w:szCs w:val="32"/>
        </w:rPr>
        <w:t>人事统一</w:t>
      </w:r>
      <w:r>
        <w:rPr>
          <w:rFonts w:hint="default" w:ascii="Times New Roman" w:hAnsi="Times New Roman" w:eastAsia="方正仿宋_GBK" w:cs="Times New Roman"/>
          <w:b/>
          <w:bCs/>
          <w:color w:val="auto"/>
          <w:sz w:val="32"/>
          <w:szCs w:val="32"/>
          <w:lang w:eastAsia="zh-CN"/>
        </w:rPr>
        <w:t>方面</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先后出台</w:t>
      </w:r>
      <w:r>
        <w:rPr>
          <w:rFonts w:hint="default" w:ascii="Times New Roman" w:hAnsi="Times New Roman" w:eastAsia="方正仿宋_GBK" w:cs="Times New Roman"/>
          <w:color w:val="auto"/>
          <w:sz w:val="32"/>
          <w:szCs w:val="32"/>
        </w:rPr>
        <w:t>《人员管理和岗位设置管理实施方案》《全区基层医疗卫生机构“区管院用”管理体制改革实施方案》</w:t>
      </w:r>
      <w:r>
        <w:rPr>
          <w:rFonts w:hint="default" w:ascii="Times New Roman" w:hAnsi="Times New Roman" w:eastAsia="方正仿宋_GBK" w:cs="Times New Roman"/>
          <w:color w:val="auto"/>
          <w:sz w:val="32"/>
          <w:szCs w:val="32"/>
          <w:lang w:eastAsia="zh-CN"/>
        </w:rPr>
        <w:t>等文件</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创新</w:t>
      </w:r>
      <w:r>
        <w:rPr>
          <w:rFonts w:hint="default" w:ascii="Times New Roman" w:hAnsi="Times New Roman" w:eastAsia="方正仿宋_GBK" w:cs="Times New Roman"/>
          <w:color w:val="auto"/>
          <w:sz w:val="32"/>
          <w:szCs w:val="32"/>
        </w:rPr>
        <w:t>岗位编制统管机制和人才流通培养机制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政府办机构高级岗</w:t>
      </w:r>
      <w:r>
        <w:rPr>
          <w:rFonts w:hint="default" w:ascii="Times New Roman" w:hAnsi="Times New Roman" w:eastAsia="方正仿宋_GBK" w:cs="Times New Roman"/>
          <w:color w:val="auto"/>
          <w:sz w:val="32"/>
          <w:szCs w:val="32"/>
          <w:lang w:eastAsia="zh-CN"/>
        </w:rPr>
        <w:t>比例</w:t>
      </w:r>
      <w:r>
        <w:rPr>
          <w:rFonts w:hint="default" w:ascii="Times New Roman" w:hAnsi="Times New Roman" w:eastAsia="方正仿宋_GBK" w:cs="Times New Roman"/>
          <w:color w:val="auto"/>
          <w:sz w:val="32"/>
          <w:szCs w:val="32"/>
        </w:rPr>
        <w:t>从5%提高至10%</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新增聘用制(备案制)名额100个。</w:t>
      </w:r>
      <w:r>
        <w:rPr>
          <w:rFonts w:hint="default" w:ascii="Times New Roman" w:hAnsi="Times New Roman" w:eastAsia="方正仿宋_GBK" w:cs="Times New Roman"/>
          <w:b/>
          <w:bCs/>
          <w:color w:val="auto"/>
          <w:sz w:val="32"/>
          <w:szCs w:val="32"/>
        </w:rPr>
        <w:t>财务统筹</w:t>
      </w:r>
      <w:r>
        <w:rPr>
          <w:rFonts w:hint="default" w:ascii="Times New Roman" w:hAnsi="Times New Roman" w:eastAsia="方正仿宋_GBK" w:cs="Times New Roman"/>
          <w:b/>
          <w:bCs/>
          <w:color w:val="auto"/>
          <w:sz w:val="32"/>
          <w:szCs w:val="32"/>
          <w:lang w:eastAsia="zh-CN"/>
        </w:rPr>
        <w:t>方面</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全市率先实施基层医疗卫生机构资金统一管理，先后成立药管办、基层医疗卫生机构结算中心，通过线上资金归集和线下财务管理，实行资金事前事中事后全程监管。</w:t>
      </w:r>
      <w:r>
        <w:rPr>
          <w:rFonts w:hint="default" w:ascii="Times New Roman" w:hAnsi="Times New Roman" w:eastAsia="方正仿宋_GBK" w:cs="Times New Roman"/>
          <w:b/>
          <w:bCs/>
          <w:color w:val="auto"/>
          <w:sz w:val="32"/>
          <w:szCs w:val="32"/>
        </w:rPr>
        <w:t>药品统管</w:t>
      </w:r>
      <w:r>
        <w:rPr>
          <w:rFonts w:hint="default" w:ascii="Times New Roman" w:hAnsi="Times New Roman" w:eastAsia="方正仿宋_GBK" w:cs="Times New Roman"/>
          <w:b/>
          <w:bCs/>
          <w:color w:val="auto"/>
          <w:sz w:val="32"/>
          <w:szCs w:val="32"/>
          <w:lang w:eastAsia="zh-CN"/>
        </w:rPr>
        <w:t>方面：</w:t>
      </w:r>
      <w:r>
        <w:rPr>
          <w:rFonts w:hint="default" w:ascii="Times New Roman" w:hAnsi="Times New Roman" w:eastAsia="方正仿宋_GBK" w:cs="Times New Roman"/>
          <w:color w:val="auto"/>
          <w:sz w:val="32"/>
          <w:szCs w:val="32"/>
        </w:rPr>
        <w:t>出台《天宁区政府办基层医疗卫生机构供应链管理办法》，建立政府办基层医疗卫生机构药品（中药）价格集中谈判、监管和平台统一采购有机结合的药品集中采购机制，形成天宁区西药、中成药使用目录2032种，有效实现“降采购成本，防廉政风险”。</w:t>
      </w:r>
      <w:r>
        <w:rPr>
          <w:rFonts w:hint="default" w:ascii="Times New Roman" w:hAnsi="Times New Roman" w:eastAsia="方正仿宋_GBK" w:cs="Times New Roman"/>
          <w:b/>
          <w:bCs/>
          <w:color w:val="auto"/>
          <w:sz w:val="32"/>
          <w:szCs w:val="32"/>
        </w:rPr>
        <w:t>绩效统考</w:t>
      </w:r>
      <w:r>
        <w:rPr>
          <w:rFonts w:hint="default" w:ascii="Times New Roman" w:hAnsi="Times New Roman" w:eastAsia="方正仿宋_GBK" w:cs="Times New Roman"/>
          <w:b/>
          <w:bCs/>
          <w:color w:val="auto"/>
          <w:sz w:val="32"/>
          <w:szCs w:val="32"/>
          <w:lang w:eastAsia="zh-CN"/>
        </w:rPr>
        <w:t>方面</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修订完善政府办基层医疗卫生机构绩效考核办法，将年度考核结果与负责人任免、机构绩效工资总量、负责人奖励挂钩，政府办基层医疗机构绩效工资总量调至115%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135%</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bCs/>
          <w:color w:val="auto"/>
          <w:sz w:val="32"/>
          <w:szCs w:val="32"/>
        </w:rPr>
        <w:t>智慧信息化统建</w:t>
      </w:r>
      <w:r>
        <w:rPr>
          <w:rFonts w:hint="default" w:ascii="Times New Roman" w:hAnsi="Times New Roman" w:eastAsia="方正仿宋_GBK" w:cs="Times New Roman"/>
          <w:b/>
          <w:bCs/>
          <w:color w:val="auto"/>
          <w:sz w:val="32"/>
          <w:szCs w:val="32"/>
          <w:lang w:eastAsia="zh-CN"/>
        </w:rPr>
        <w:t>方面</w:t>
      </w:r>
      <w:r>
        <w:rPr>
          <w:rFonts w:hint="default" w:ascii="Times New Roman" w:hAnsi="Times New Roman" w:eastAsia="方正仿宋_GBK" w:cs="Times New Roman"/>
          <w:b/>
          <w:bCs/>
          <w:color w:val="auto"/>
          <w:sz w:val="32"/>
          <w:szCs w:val="32"/>
        </w:rPr>
        <w:t>：</w:t>
      </w:r>
      <w:r>
        <w:rPr>
          <w:rFonts w:hint="default" w:ascii="Times New Roman" w:hAnsi="Times New Roman" w:eastAsia="方正仿宋_GBK" w:cs="Times New Roman"/>
          <w:color w:val="auto"/>
          <w:sz w:val="32"/>
          <w:szCs w:val="32"/>
        </w:rPr>
        <w:t>稳步推进区域卫生信息平台建设，基层医疗卫生机构100%配备HIS系统，实现</w:t>
      </w:r>
      <w:r>
        <w:rPr>
          <w:rFonts w:hint="default" w:ascii="Times New Roman" w:hAnsi="Times New Roman" w:eastAsia="方正仿宋_GBK" w:cs="Times New Roman"/>
          <w:color w:val="auto"/>
          <w:sz w:val="32"/>
          <w:szCs w:val="32"/>
          <w:lang w:eastAsia="zh-CN"/>
        </w:rPr>
        <w:t>各</w:t>
      </w:r>
      <w:r>
        <w:rPr>
          <w:rFonts w:hint="default" w:ascii="Times New Roman" w:hAnsi="Times New Roman" w:eastAsia="方正仿宋_GBK" w:cs="Times New Roman"/>
          <w:color w:val="auto"/>
          <w:sz w:val="32"/>
          <w:szCs w:val="32"/>
        </w:rPr>
        <w:t>基层医疗机构管理系统互联互通。实施“互联网+”健康医疗服务，完善家庭医生签约服务系统，联手阿里健康技术团队，探索实施互联网医联体项目。推动健康标识由“传统空间”向“互联网空间”转型，形成“线上线下一体化”的“互联网＋医疗健康”服务新模式。</w:t>
      </w:r>
      <w:bookmarkStart w:id="22" w:name="_Toc68722387"/>
    </w:p>
    <w:p>
      <w:pPr>
        <w:pStyle w:val="5"/>
        <w:keepNext w:val="0"/>
        <w:keepLines w:val="0"/>
        <w:pageBreakBefore w:val="0"/>
        <w:wordWrap/>
        <w:overflowPunct/>
        <w:topLinePunct w:val="0"/>
        <w:bidi w:val="0"/>
        <w:spacing w:line="570" w:lineRule="exact"/>
        <w:rPr>
          <w:rFonts w:hint="default" w:ascii="Times New Roman" w:hAnsi="Times New Roman" w:cs="Times New Roman"/>
          <w:color w:val="auto"/>
        </w:rPr>
      </w:pPr>
      <w:bookmarkStart w:id="23" w:name="_Toc22938"/>
      <w:r>
        <w:rPr>
          <w:rFonts w:hint="default" w:ascii="Times New Roman" w:hAnsi="Times New Roman" w:cs="Times New Roman"/>
          <w:color w:val="auto"/>
        </w:rPr>
        <w:t>4</w:t>
      </w:r>
      <w:r>
        <w:rPr>
          <w:rFonts w:hint="eastAsia" w:cs="Times New Roman"/>
          <w:color w:val="auto"/>
          <w:lang w:val="en-US" w:eastAsia="zh-CN"/>
        </w:rPr>
        <w:t xml:space="preserve">. </w:t>
      </w:r>
      <w:r>
        <w:rPr>
          <w:rFonts w:hint="default" w:ascii="Times New Roman" w:hAnsi="Times New Roman" w:cs="Times New Roman"/>
          <w:color w:val="auto"/>
        </w:rPr>
        <w:t>基层医疗服务体系不断完善</w:t>
      </w:r>
      <w:bookmarkEnd w:id="22"/>
      <w:bookmarkEnd w:id="23"/>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“十三五”</w:t>
      </w:r>
      <w:r>
        <w:rPr>
          <w:rFonts w:hint="default" w:ascii="Times New Roman" w:hAnsi="Times New Roman" w:eastAsia="方正仿宋_GBK" w:cs="Times New Roman"/>
          <w:color w:val="auto"/>
          <w:sz w:val="32"/>
          <w:szCs w:val="32"/>
          <w:lang w:eastAsia="zh-CN"/>
        </w:rPr>
        <w:t>期间</w:t>
      </w:r>
      <w:r>
        <w:rPr>
          <w:rFonts w:hint="default" w:ascii="Times New Roman" w:hAnsi="Times New Roman" w:eastAsia="方正仿宋_GBK" w:cs="Times New Roman"/>
          <w:color w:val="auto"/>
          <w:sz w:val="32"/>
          <w:szCs w:val="32"/>
        </w:rPr>
        <w:t>，区域内</w:t>
      </w:r>
      <w:r>
        <w:rPr>
          <w:rFonts w:hint="default" w:ascii="Times New Roman" w:hAnsi="Times New Roman" w:eastAsia="方正仿宋_GBK" w:cs="Times New Roman"/>
          <w:color w:val="auto"/>
          <w:sz w:val="32"/>
          <w:szCs w:val="32"/>
          <w:lang w:eastAsia="zh-CN"/>
        </w:rPr>
        <w:t>实现</w:t>
      </w:r>
      <w:r>
        <w:rPr>
          <w:rFonts w:hint="default" w:ascii="Times New Roman" w:hAnsi="Times New Roman" w:eastAsia="方正仿宋_GBK" w:cs="Times New Roman"/>
          <w:color w:val="auto"/>
          <w:sz w:val="32"/>
          <w:szCs w:val="32"/>
        </w:rPr>
        <w:t>基层医疗</w:t>
      </w:r>
      <w:r>
        <w:rPr>
          <w:rFonts w:hint="default" w:ascii="Times New Roman" w:hAnsi="Times New Roman" w:eastAsia="方正仿宋_GBK" w:cs="Times New Roman"/>
          <w:color w:val="auto"/>
          <w:sz w:val="32"/>
          <w:szCs w:val="32"/>
          <w:lang w:eastAsia="zh-CN"/>
        </w:rPr>
        <w:t>卫生</w:t>
      </w:r>
      <w:r>
        <w:rPr>
          <w:rFonts w:hint="default" w:ascii="Times New Roman" w:hAnsi="Times New Roman" w:eastAsia="方正仿宋_GBK" w:cs="Times New Roman"/>
          <w:color w:val="auto"/>
          <w:sz w:val="32"/>
          <w:szCs w:val="32"/>
        </w:rPr>
        <w:t>机构医联体全覆盖</w:t>
      </w:r>
      <w:r>
        <w:rPr>
          <w:rFonts w:hint="default" w:ascii="Times New Roman" w:hAnsi="Times New Roman" w:eastAsia="方正仿宋_GBK" w:cs="Times New Roman"/>
          <w:color w:val="auto"/>
          <w:sz w:val="32"/>
          <w:szCs w:val="32"/>
          <w:lang w:eastAsia="zh-CN"/>
        </w:rPr>
        <w:t>。探索建立</w:t>
      </w:r>
      <w:r>
        <w:rPr>
          <w:rFonts w:hint="default" w:ascii="Times New Roman" w:hAnsi="Times New Roman" w:eastAsia="方正仿宋_GBK" w:cs="Times New Roman"/>
          <w:color w:val="auto"/>
          <w:sz w:val="32"/>
          <w:szCs w:val="32"/>
        </w:rPr>
        <w:t>紧密型医联体</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“常州市第二人民医院天宁分院”顺利揭牌</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进共建专科型医联体建设，郑陆镇卫生院与武进医院共建普外科和妇产科病区，与市中医院共建骨科病区；雕庄街道社区卫生服务中心与市一院建立烧烫伤合作专科，被列为市一院烧烫伤的后备病房；茶山街道社区卫生服务中心与市中医院建立中医合作专科，由市中医院专家每天坐诊中医科；红梅街道社区卫生服务中心与市二院合作开展“脑卒中精细化防治工程”；兰陵街道社区卫生服务中心与市三院建立眼科合作关系；青龙街道社区卫生服务中心与仁济医院南院共建风湿免疫科医疗联合体等。以“建设品质医疗，创建品牌医院”为目标，</w:t>
      </w:r>
      <w:r>
        <w:rPr>
          <w:rFonts w:hint="default" w:ascii="Times New Roman" w:hAnsi="Times New Roman" w:eastAsia="方正仿宋_GBK" w:cs="Times New Roman"/>
          <w:color w:val="auto"/>
          <w:sz w:val="32"/>
          <w:szCs w:val="32"/>
          <w:lang w:eastAsia="zh-CN"/>
        </w:rPr>
        <w:t>借助</w:t>
      </w:r>
      <w:r>
        <w:rPr>
          <w:rFonts w:hint="default" w:ascii="Times New Roman" w:hAnsi="Times New Roman" w:eastAsia="方正仿宋_GBK" w:cs="Times New Roman"/>
          <w:color w:val="auto"/>
          <w:sz w:val="32"/>
          <w:szCs w:val="32"/>
        </w:rPr>
        <w:t>市级优质医疗资源撬动基层医疗卫生机构品牌特色专科建设，红梅街道社区卫生服务中心口腔科、雕庄街道社区卫生服务中心烧烫伤专科、郑陆镇卫生院儿科、青龙街道社区卫生服务中心风湿关节病科共4个科室成功创成省级基层特色科室，郑陆镇卫生院骨科、青龙</w:t>
      </w:r>
      <w:r>
        <w:rPr>
          <w:rFonts w:hint="default" w:ascii="Times New Roman" w:hAnsi="Times New Roman" w:eastAsia="方正仿宋_GBK" w:cs="Times New Roman"/>
          <w:color w:val="auto"/>
          <w:spacing w:val="-11"/>
          <w:kern w:val="0"/>
          <w:sz w:val="32"/>
          <w:szCs w:val="32"/>
          <w:lang w:val="en-US" w:eastAsia="zh-CN" w:bidi="ar-SA"/>
        </w:rPr>
        <w:t>街道社区卫生服务中心妇产科等12个科室创成市级基层特色科室。</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rPr>
      </w:pPr>
      <w:bookmarkStart w:id="24" w:name="_Toc68722388"/>
      <w:r>
        <w:rPr>
          <w:rFonts w:hint="default" w:ascii="Times New Roman" w:hAnsi="Times New Roman" w:eastAsia="方正仿宋_GBK" w:cs="Times New Roman"/>
          <w:color w:val="auto"/>
          <w:sz w:val="32"/>
          <w:szCs w:val="32"/>
        </w:rPr>
        <w:t>实施“1+1+X”家庭医生签约模式</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启动“优服100＋”签约服务项目</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累计成立家医团队112支，建成36个标准化院外家医工作室，打造4个金牌工作室。累计签约居民23</w:t>
      </w:r>
      <w:r>
        <w:rPr>
          <w:rFonts w:hint="default" w:ascii="Times New Roman" w:hAnsi="Times New Roman" w:eastAsia="方正仿宋_GBK" w:cs="Times New Roman"/>
          <w:color w:val="auto"/>
          <w:sz w:val="32"/>
          <w:szCs w:val="32"/>
          <w:lang w:eastAsia="zh-CN"/>
        </w:rPr>
        <w:t>万余</w:t>
      </w:r>
      <w:r>
        <w:rPr>
          <w:rFonts w:hint="default" w:ascii="Times New Roman" w:hAnsi="Times New Roman" w:eastAsia="方正仿宋_GBK" w:cs="Times New Roman"/>
          <w:color w:val="auto"/>
          <w:sz w:val="32"/>
          <w:szCs w:val="32"/>
        </w:rPr>
        <w:t>人，签约覆盖率36.51%，重点人群签约覆盖率75.71%，特殊人群应签尽签</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构建智能化家庭医生服务平台，2019年，《天宁区社区心脑血管疾病智能化综合管理项目》入选“江苏省家庭医生签约服务十大创新举措”</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全面开展“点单式”签约服务</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2020年，天宁区入选“江苏省家庭医生服务模式创新单位名单”。</w:t>
      </w:r>
    </w:p>
    <w:p>
      <w:pPr>
        <w:pStyle w:val="5"/>
        <w:keepNext w:val="0"/>
        <w:keepLines w:val="0"/>
        <w:pageBreakBefore w:val="0"/>
        <w:kinsoku/>
        <w:wordWrap/>
        <w:overflowPunct/>
        <w:topLinePunct w:val="0"/>
        <w:bidi w:val="0"/>
        <w:spacing w:line="570" w:lineRule="exact"/>
        <w:ind w:firstLine="643" w:firstLineChars="200"/>
        <w:jc w:val="both"/>
        <w:textAlignment w:val="auto"/>
        <w:rPr>
          <w:rFonts w:hint="default" w:ascii="Times New Roman" w:hAnsi="Times New Roman" w:eastAsia="方正仿宋_GBK" w:cs="Times New Roman"/>
          <w:b/>
          <w:bCs/>
          <w:color w:val="auto"/>
          <w:sz w:val="32"/>
          <w:szCs w:val="32"/>
        </w:rPr>
      </w:pPr>
      <w:bookmarkStart w:id="25" w:name="_Toc27556"/>
      <w:r>
        <w:rPr>
          <w:rFonts w:hint="default" w:ascii="Times New Roman" w:hAnsi="Times New Roman" w:eastAsia="方正仿宋_GBK" w:cs="Times New Roman"/>
          <w:b/>
          <w:bCs/>
          <w:color w:val="auto"/>
          <w:sz w:val="32"/>
          <w:szCs w:val="32"/>
        </w:rPr>
        <w:t>5</w:t>
      </w:r>
      <w:r>
        <w:rPr>
          <w:rFonts w:hint="eastAsia" w:cs="Times New Roman"/>
          <w:color w:val="auto"/>
          <w:lang w:val="en-US" w:eastAsia="zh-CN"/>
        </w:rPr>
        <w:t xml:space="preserve">. </w:t>
      </w:r>
      <w:r>
        <w:rPr>
          <w:rFonts w:hint="default" w:ascii="Times New Roman" w:hAnsi="Times New Roman" w:eastAsia="方正仿宋_GBK" w:cs="Times New Roman"/>
          <w:b/>
          <w:bCs/>
          <w:color w:val="auto"/>
          <w:sz w:val="32"/>
          <w:szCs w:val="32"/>
        </w:rPr>
        <w:t>公共卫生服务成效显著</w:t>
      </w:r>
      <w:bookmarkEnd w:id="24"/>
      <w:bookmarkEnd w:id="25"/>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highlight w:val="none"/>
        </w:rPr>
        <w:t>“十三五”以来，全区以立足社区、服务居民为宗旨，全面实施基本公共卫生服务项目，推进社区居民电子健康档案规范化管</w:t>
      </w:r>
      <w:r>
        <w:rPr>
          <w:rFonts w:hint="default" w:ascii="Times New Roman" w:hAnsi="Times New Roman" w:eastAsia="方正仿宋_GBK" w:cs="Times New Roman"/>
          <w:color w:val="auto"/>
          <w:sz w:val="32"/>
          <w:szCs w:val="32"/>
        </w:rPr>
        <w:t>理工作。开展“部分慢性病精准化防治工程”，实施高危人群早期筛查与综合干预项目。创新开展慢病首席家庭医生培训，提出专科化的全科医生培养模式，培养慢病首席医师13名</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“十三五”末，</w:t>
      </w:r>
      <w:r>
        <w:rPr>
          <w:rFonts w:hint="default" w:ascii="Times New Roman" w:hAnsi="Times New Roman" w:eastAsia="方正仿宋_GBK" w:cs="Times New Roman"/>
          <w:b/>
          <w:bCs/>
          <w:color w:val="auto"/>
          <w:sz w:val="32"/>
          <w:szCs w:val="32"/>
        </w:rPr>
        <w:t>天宁区居民电子健康档案建档率84.62%</w:t>
      </w:r>
      <w:r>
        <w:rPr>
          <w:rFonts w:hint="default" w:ascii="Times New Roman" w:hAnsi="Times New Roman" w:eastAsia="方正仿宋_GBK" w:cs="Times New Roman"/>
          <w:color w:val="auto"/>
          <w:sz w:val="32"/>
          <w:szCs w:val="32"/>
        </w:rPr>
        <w:t>，适龄儿童国家免疫规划疫苗接种率保持在95%以上；高血压患者规范管理率为66.08%，糖尿病患者规范管理率为66%，孕产妇、7岁以下儿童健康管理率均达到90%以上，严重精神障碍患者规范管理率90.98%，65岁以上老年人健康体检率72.21%，全区筛查点共完成“两癌”检查12.9万人次。做细疾病预防控制，加强传染病报告信息化体系建设，强化流感、发热门诊、肠道门诊等传染病监测预警。传染病诊疗机构网络正常运行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及时报告率</w:t>
      </w:r>
      <w:r>
        <w:rPr>
          <w:rFonts w:hint="default" w:ascii="Times New Roman" w:hAnsi="Times New Roman" w:eastAsia="方正仿宋_GBK" w:cs="Times New Roman"/>
          <w:color w:val="auto"/>
          <w:sz w:val="32"/>
          <w:szCs w:val="32"/>
          <w:lang w:eastAsia="zh-CN"/>
        </w:rPr>
        <w:t>均</w:t>
      </w:r>
      <w:r>
        <w:rPr>
          <w:rFonts w:hint="default" w:ascii="Times New Roman" w:hAnsi="Times New Roman" w:eastAsia="方正仿宋_GBK" w:cs="Times New Roman"/>
          <w:color w:val="auto"/>
          <w:sz w:val="32"/>
          <w:szCs w:val="32"/>
        </w:rPr>
        <w:t>100%。建立突发事件卫生应急协调联动机制，以区域医联体组建为载体，拓宽应急救援培训渠道，2017年成功创成省级卫生应急示范区。</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2020年抗击新冠疫情期间更是发挥应有作用，科学处置，把好防控关卡，充分利用“大数据”对确诊病例</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lang w:val="en-US" w:eastAsia="zh-CN"/>
        </w:rPr>
        <w:t>阳性检测者</w:t>
      </w:r>
      <w:r>
        <w:rPr>
          <w:rFonts w:hint="default" w:ascii="Times New Roman" w:hAnsi="Times New Roman" w:eastAsia="方正仿宋_GBK" w:cs="Times New Roman"/>
          <w:color w:val="auto"/>
          <w:sz w:val="32"/>
          <w:szCs w:val="32"/>
        </w:rPr>
        <w:t>开展流行病学调查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与公安、镇（街道）建立密切接触者协查机制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组织专业防疫人员帮助指导辖区企业复工复产和学校复课。实施重点人群</w:t>
      </w:r>
      <w:r>
        <w:rPr>
          <w:rFonts w:hint="default" w:ascii="Times New Roman" w:hAnsi="Times New Roman" w:eastAsia="方正仿宋_GBK" w:cs="Times New Roman"/>
          <w:color w:val="auto"/>
          <w:sz w:val="32"/>
          <w:szCs w:val="32"/>
          <w:lang w:eastAsia="zh-CN"/>
        </w:rPr>
        <w:t>分级</w:t>
      </w:r>
      <w:r>
        <w:rPr>
          <w:rFonts w:hint="default" w:ascii="Times New Roman" w:hAnsi="Times New Roman" w:eastAsia="方正仿宋_GBK" w:cs="Times New Roman"/>
          <w:color w:val="auto"/>
          <w:sz w:val="32"/>
          <w:szCs w:val="32"/>
        </w:rPr>
        <w:t>分类</w:t>
      </w:r>
      <w:r>
        <w:rPr>
          <w:rFonts w:hint="default" w:ascii="Times New Roman" w:hAnsi="Times New Roman" w:eastAsia="方正仿宋_GBK" w:cs="Times New Roman"/>
          <w:color w:val="auto"/>
          <w:sz w:val="32"/>
          <w:szCs w:val="32"/>
          <w:lang w:eastAsia="zh-CN"/>
        </w:rPr>
        <w:t>管控，</w:t>
      </w:r>
      <w:r>
        <w:rPr>
          <w:rFonts w:hint="default" w:ascii="Times New Roman" w:hAnsi="Times New Roman" w:eastAsia="方正仿宋_GBK" w:cs="Times New Roman"/>
          <w:color w:val="auto"/>
          <w:sz w:val="32"/>
          <w:szCs w:val="32"/>
        </w:rPr>
        <w:t>承接3个集中医学</w:t>
      </w:r>
      <w:r>
        <w:rPr>
          <w:rFonts w:hint="default" w:ascii="Times New Roman" w:hAnsi="Times New Roman" w:eastAsia="方正仿宋_GBK" w:cs="Times New Roman"/>
          <w:color w:val="auto"/>
          <w:sz w:val="32"/>
          <w:szCs w:val="32"/>
          <w:lang w:eastAsia="zh-CN"/>
        </w:rPr>
        <w:t>隔离</w:t>
      </w:r>
      <w:r>
        <w:rPr>
          <w:rFonts w:hint="default" w:ascii="Times New Roman" w:hAnsi="Times New Roman" w:eastAsia="方正仿宋_GBK" w:cs="Times New Roman"/>
          <w:color w:val="auto"/>
          <w:sz w:val="32"/>
          <w:szCs w:val="32"/>
        </w:rPr>
        <w:t>观察点和5个重点疫情地区来常人员临时留观点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科学设置4个集中核酸采样点，全力配合落实入境人员前期“7+7”“3+11”和后期“14+14”隔离转运措施，有效形成“防控闭环”。实行重点场所应检尽检，以“属地化”+“网格化”为原则，建立覆盖全区的疫情防控技术指导服务队伍。建设完成区公共卫生服务中心大楼和PCR实验室，</w:t>
      </w:r>
      <w:r>
        <w:rPr>
          <w:rFonts w:hint="default" w:ascii="Times New Roman" w:hAnsi="Times New Roman" w:eastAsia="方正仿宋_GBK" w:cs="Times New Roman"/>
          <w:color w:val="auto"/>
          <w:sz w:val="32"/>
          <w:szCs w:val="32"/>
          <w:lang w:eastAsia="zh-CN"/>
        </w:rPr>
        <w:t>添置</w:t>
      </w:r>
      <w:r>
        <w:rPr>
          <w:rFonts w:hint="default" w:ascii="Times New Roman" w:hAnsi="Times New Roman" w:eastAsia="方正仿宋_GBK" w:cs="Times New Roman"/>
          <w:color w:val="auto"/>
          <w:sz w:val="32"/>
          <w:szCs w:val="32"/>
        </w:rPr>
        <w:t>核酸提取仪、荧光定量PCR仪</w:t>
      </w:r>
      <w:r>
        <w:rPr>
          <w:rFonts w:hint="default" w:ascii="Times New Roman" w:hAnsi="Times New Roman" w:eastAsia="方正仿宋_GBK" w:cs="Times New Roman"/>
          <w:color w:val="auto"/>
          <w:sz w:val="32"/>
          <w:szCs w:val="32"/>
          <w:lang w:eastAsia="zh-CN"/>
        </w:rPr>
        <w:t>、生物安全柜</w:t>
      </w:r>
      <w:r>
        <w:rPr>
          <w:rFonts w:hint="default" w:ascii="Times New Roman" w:hAnsi="Times New Roman" w:eastAsia="方正仿宋_GBK" w:cs="Times New Roman"/>
          <w:color w:val="auto"/>
          <w:sz w:val="32"/>
          <w:szCs w:val="32"/>
        </w:rPr>
        <w:t>等仪器设备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A类设备配备率100%，大大提升了全区应急防控能力。疫情防控期间，3名同志因表现突出火线入党，全系统共有7家单位77位个人受到了省、市、区表彰，区卫健局被省委省政府评为全省抗击新冠肺炎疫情先进集体。</w:t>
      </w:r>
    </w:p>
    <w:p>
      <w:pPr>
        <w:pStyle w:val="5"/>
        <w:keepNext w:val="0"/>
        <w:keepLines w:val="0"/>
        <w:pageBreakBefore w:val="0"/>
        <w:kinsoku/>
        <w:wordWrap/>
        <w:overflowPunct/>
        <w:topLinePunct w:val="0"/>
        <w:bidi w:val="0"/>
        <w:spacing w:line="570" w:lineRule="exact"/>
        <w:ind w:firstLine="643" w:firstLineChars="200"/>
        <w:jc w:val="both"/>
        <w:textAlignment w:val="auto"/>
        <w:rPr>
          <w:rFonts w:hint="default" w:ascii="Times New Roman" w:hAnsi="Times New Roman" w:eastAsia="方正仿宋_GBK" w:cs="Times New Roman"/>
          <w:b/>
          <w:bCs/>
          <w:color w:val="auto"/>
          <w:sz w:val="32"/>
          <w:szCs w:val="32"/>
        </w:rPr>
      </w:pPr>
      <w:bookmarkStart w:id="26" w:name="_Toc68722389"/>
      <w:bookmarkStart w:id="27" w:name="_Toc5574"/>
      <w:r>
        <w:rPr>
          <w:rFonts w:hint="default" w:ascii="Times New Roman" w:hAnsi="Times New Roman" w:eastAsia="方正仿宋_GBK" w:cs="Times New Roman"/>
          <w:b/>
          <w:bCs/>
          <w:color w:val="auto"/>
          <w:sz w:val="32"/>
          <w:szCs w:val="32"/>
        </w:rPr>
        <w:t>6</w:t>
      </w:r>
      <w:r>
        <w:rPr>
          <w:rFonts w:hint="eastAsia" w:cs="Times New Roman"/>
          <w:color w:val="auto"/>
          <w:lang w:val="en-US" w:eastAsia="zh-CN"/>
        </w:rPr>
        <w:t xml:space="preserve">. </w:t>
      </w:r>
      <w:r>
        <w:rPr>
          <w:rFonts w:hint="default" w:ascii="Times New Roman" w:hAnsi="Times New Roman" w:eastAsia="方正仿宋_GBK" w:cs="Times New Roman"/>
          <w:b/>
          <w:bCs/>
          <w:color w:val="auto"/>
          <w:sz w:val="32"/>
          <w:szCs w:val="32"/>
        </w:rPr>
        <w:t>幸福家庭建设落实有力</w:t>
      </w:r>
      <w:bookmarkEnd w:id="26"/>
      <w:bookmarkEnd w:id="27"/>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十三五”以来，全区落实计生法定惠民政策，完善计生利益导向机制；推进《生育服务联系单》网上办理、一站式服务和承诺制；创成常州市唯一的“国家级暖心家园”，让计生特殊家庭在政策扶持上有优先、在生活保障上有优惠、在心理慰籍上有优遇；深化“春晖3+3”计划、“三位一体”的帮扶模式和“六大”区域利导服务，创新实施“1+X”家庭医生有偿服务补贴计划，新建春晖</w:t>
      </w:r>
      <w:r>
        <w:rPr>
          <w:rFonts w:hint="default" w:ascii="Times New Roman" w:hAnsi="Times New Roman" w:eastAsia="方正仿宋_GBK" w:cs="Times New Roman"/>
          <w:color w:val="auto"/>
          <w:sz w:val="32"/>
          <w:szCs w:val="32"/>
          <w:lang w:val="en-US" w:eastAsia="zh-CN"/>
        </w:rPr>
        <w:t>俱乐部2</w:t>
      </w:r>
      <w:r>
        <w:rPr>
          <w:rFonts w:hint="default" w:ascii="Times New Roman" w:hAnsi="Times New Roman" w:eastAsia="方正仿宋_GBK" w:cs="Times New Roman"/>
          <w:color w:val="auto"/>
          <w:sz w:val="32"/>
          <w:szCs w:val="32"/>
          <w:lang w:eastAsia="zh-CN"/>
        </w:rPr>
        <w:t>家，总计</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eastAsia="zh-CN"/>
        </w:rPr>
        <w:t>家，已实现镇、各街道全覆盖。截至“十三五”末期，全区共办理生育服务联系单20523份，享受农村奖扶对象5764人，特扶对象1620人，发放“一次性奖励对象”23840人，设立区级计生公益金制度，为计生困难家庭排忧解难，直接受益家庭1145个。加强妇幼保健一体化管理，完善区妇计中心、社区卫生服务中心、服务站上下联动机制，组织实施了“预防艾滋病、梅毒和乙肝母婴传播”“适龄妇女‘两癌’筛查”和“增补叶酸预防神经管畸形”三个妇幼卫生重点项目。完成适龄妇女“两癌”检查140941例；为9235对准备登记结婚的新人提供免费婚前医学保健服务和孕前优生健康检查；为辖区内的孕妇免费艾梅乙检测达24158人次，检出梅毒孕妇27人，乙肝827人；为准备怀孕的妇女免费发放叶酸1707人次。</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highlight w:val="yellow"/>
          <w:lang w:val="en-US" w:eastAsia="zh-CN"/>
        </w:rPr>
      </w:pPr>
      <w:r>
        <w:rPr>
          <w:rFonts w:hint="default" w:ascii="Times New Roman" w:hAnsi="Times New Roman" w:eastAsia="方正仿宋_GBK" w:cs="Times New Roman"/>
          <w:color w:val="auto"/>
          <w:sz w:val="32"/>
          <w:szCs w:val="32"/>
          <w:lang w:val="en-US" w:eastAsia="zh-CN"/>
        </w:rPr>
        <w:t>“十三五”以来，先后创成国家科学育儿项目区、国家妇幼健康优质服务示范区、全国计划生育优质服务先进单位、全市首批省级幸福家庭建设示范区和省级流动人口基本公共卫生计生服务均等化示范区，获得了全国流动人口动态监测调查优秀单位等荣誉。同时，将家庭发展纳入区政府对镇（街道）目标任务，创成“新家庭计划——</w:t>
      </w:r>
      <w:r>
        <w:rPr>
          <w:rFonts w:hint="default" w:ascii="Times New Roman" w:hAnsi="Times New Roman" w:eastAsia="方正仿宋_GBK" w:cs="Times New Roman"/>
          <w:color w:val="auto"/>
          <w:sz w:val="32"/>
          <w:szCs w:val="32"/>
          <w:highlight w:val="none"/>
          <w:lang w:val="en-US" w:eastAsia="zh-CN"/>
        </w:rPr>
        <w:t>家庭发展能力建设”省级试点，成为常州市唯一的市级3岁以下岁婴幼儿照护服务试点单位，建成省级、市级示范性托育机构各2家。</w:t>
      </w:r>
    </w:p>
    <w:p>
      <w:pPr>
        <w:pStyle w:val="5"/>
        <w:keepNext w:val="0"/>
        <w:keepLines w:val="0"/>
        <w:pageBreakBefore w:val="0"/>
        <w:kinsoku/>
        <w:wordWrap/>
        <w:overflowPunct/>
        <w:topLinePunct w:val="0"/>
        <w:bidi w:val="0"/>
        <w:spacing w:line="570" w:lineRule="exact"/>
        <w:ind w:firstLine="643" w:firstLineChars="200"/>
        <w:jc w:val="both"/>
        <w:textAlignment w:val="auto"/>
        <w:rPr>
          <w:rFonts w:hint="default" w:ascii="Times New Roman" w:hAnsi="Times New Roman" w:eastAsia="方正仿宋_GBK" w:cs="Times New Roman"/>
          <w:b/>
          <w:bCs/>
          <w:color w:val="auto"/>
          <w:sz w:val="32"/>
          <w:szCs w:val="32"/>
        </w:rPr>
      </w:pPr>
      <w:bookmarkStart w:id="28" w:name="_Toc21707"/>
      <w:bookmarkStart w:id="29" w:name="_Toc68722390"/>
      <w:r>
        <w:rPr>
          <w:rFonts w:hint="default" w:ascii="Times New Roman" w:hAnsi="Times New Roman" w:eastAsia="方正仿宋_GBK" w:cs="Times New Roman"/>
          <w:b/>
          <w:bCs/>
          <w:color w:val="auto"/>
          <w:sz w:val="32"/>
          <w:szCs w:val="32"/>
        </w:rPr>
        <w:t>7</w:t>
      </w:r>
      <w:r>
        <w:rPr>
          <w:rFonts w:hint="eastAsia" w:cs="Times New Roman"/>
          <w:color w:val="auto"/>
          <w:lang w:val="en-US" w:eastAsia="zh-CN"/>
        </w:rPr>
        <w:t xml:space="preserve">. </w:t>
      </w:r>
      <w:r>
        <w:rPr>
          <w:rFonts w:hint="default" w:ascii="Times New Roman" w:hAnsi="Times New Roman" w:eastAsia="方正仿宋_GBK" w:cs="Times New Roman"/>
          <w:b/>
          <w:bCs/>
          <w:color w:val="auto"/>
          <w:sz w:val="32"/>
          <w:szCs w:val="32"/>
        </w:rPr>
        <w:t>健康养老“天宁模式”全面启动</w:t>
      </w:r>
      <w:bookmarkEnd w:id="28"/>
      <w:bookmarkEnd w:id="29"/>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坚持以“健康养老”为核心，精准引进康养项目，不断优化产业布局，全力打造优质康养生活的新地标、高端康养产业集聚的新高地和老年健康促进的天宁新模式。“十三五”末江苏省常州健康养老服务业集聚区高分通过省级复审，位列全省130家服务业集聚区第9名。招引励建安院士工作室入驻，10余家企业签署入驻协议。成功签署国际康复养老（区域联合体）质量认证备忘录（CARF NetWork），标志着国内首个寻求CARF认证的健康养老项目在天宁区正式启动。市德安医院、区妇幼保健计划生育服务中心和雕庄街道社区卫生服务中心，进行康复医学科特色科室共建签约，积极构建“养老——护理——康复”融合模式。积极发挥国家级健康促进区的示范引领作用，创新实践养老与医疗相融合、事业与产业相融合、传统模式与新兴业态相融合“三项融合”健康养老模式，在全国性会议上作经验交流，国家副主席王岐山专题考察健康养老服务业集聚区、国务院副总理孙春兰作专题批示，对集聚区发展模式予以高度肯定。承接常州市首个医养融合试点区任务，率先在天宁区实施“康益行医养融合项目”，开展基于家庭医生签约的“三位一体”（家庭医生、社区、养老服务机构）医养融合服务，打造了总人数超过500人的家庭医生和养老护理人员团队，提供涵盖四大类36项的个性化、点单式的居家上门医疗服务，服务人群达2000余人。试点推行的“康益行”医养融合改革经验成效入选《江苏省改革简报》、省“不忘初心</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牢记使命”</w:t>
      </w:r>
      <w:bookmarkStart w:id="175" w:name="_GoBack"/>
      <w:bookmarkEnd w:id="175"/>
      <w:r>
        <w:rPr>
          <w:rFonts w:hint="default" w:ascii="Times New Roman" w:hAnsi="Times New Roman" w:eastAsia="方正仿宋_GBK" w:cs="Times New Roman"/>
          <w:color w:val="auto"/>
          <w:sz w:val="32"/>
          <w:szCs w:val="32"/>
          <w:lang w:eastAsia="zh-CN"/>
        </w:rPr>
        <w:t>主题教育简报和《江苏医改动态》。</w:t>
      </w:r>
    </w:p>
    <w:p>
      <w:pPr>
        <w:pStyle w:val="5"/>
        <w:keepNext w:val="0"/>
        <w:keepLines w:val="0"/>
        <w:pageBreakBefore w:val="0"/>
        <w:kinsoku/>
        <w:wordWrap/>
        <w:overflowPunct/>
        <w:topLinePunct w:val="0"/>
        <w:bidi w:val="0"/>
        <w:spacing w:line="570" w:lineRule="exact"/>
        <w:ind w:firstLine="643" w:firstLineChars="200"/>
        <w:jc w:val="both"/>
        <w:textAlignment w:val="auto"/>
        <w:rPr>
          <w:rFonts w:hint="default" w:ascii="Times New Roman" w:hAnsi="Times New Roman" w:eastAsia="方正仿宋_GBK" w:cs="Times New Roman"/>
          <w:b/>
          <w:bCs/>
          <w:color w:val="auto"/>
          <w:sz w:val="32"/>
          <w:szCs w:val="32"/>
        </w:rPr>
      </w:pPr>
      <w:bookmarkStart w:id="30" w:name="_Toc68722391"/>
      <w:bookmarkStart w:id="31" w:name="_Toc1260"/>
      <w:r>
        <w:rPr>
          <w:rFonts w:hint="default" w:ascii="Times New Roman" w:hAnsi="Times New Roman" w:eastAsia="方正仿宋_GBK" w:cs="Times New Roman"/>
          <w:b/>
          <w:bCs/>
          <w:color w:val="auto"/>
          <w:sz w:val="32"/>
          <w:szCs w:val="32"/>
        </w:rPr>
        <w:t>8</w:t>
      </w:r>
      <w:r>
        <w:rPr>
          <w:rFonts w:hint="eastAsia" w:cs="Times New Roman"/>
          <w:color w:val="auto"/>
          <w:lang w:val="en-US" w:eastAsia="zh-CN"/>
        </w:rPr>
        <w:t xml:space="preserve">. </w:t>
      </w:r>
      <w:r>
        <w:rPr>
          <w:rFonts w:hint="default" w:ascii="Times New Roman" w:hAnsi="Times New Roman" w:eastAsia="方正仿宋_GBK" w:cs="Times New Roman"/>
          <w:b/>
          <w:bCs/>
          <w:color w:val="auto"/>
          <w:sz w:val="32"/>
          <w:szCs w:val="32"/>
        </w:rPr>
        <w:t>基层卫生人才资源得以盘活</w:t>
      </w:r>
      <w:bookmarkEnd w:id="30"/>
      <w:bookmarkEnd w:id="31"/>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十三五”期间，出台《卫健系统干部人才队伍建设实施办法》，形成基层卫生骨干人才竞争、遴选、考核、退出动态管理机制，盘活人才总库，通过“上挂”和“下沉”的形式，建立局机关、直属事业单位、政府办基层医疗卫生机构“三向”干部人才交流机制，期间提拔事业单位科级干部2名，基层医疗卫生机构正职3名、副职9名。安排基层机构领导干部轮岗交流</w:t>
      </w:r>
      <w:r>
        <w:rPr>
          <w:rFonts w:hint="default" w:ascii="Times New Roman" w:hAnsi="Times New Roman" w:eastAsia="方正仿宋_GBK" w:cs="Times New Roman"/>
          <w:color w:val="auto"/>
          <w:sz w:val="32"/>
          <w:szCs w:val="32"/>
          <w:lang w:val="en-US" w:eastAsia="zh-CN"/>
        </w:rPr>
        <w:t>13人</w:t>
      </w:r>
      <w:r>
        <w:rPr>
          <w:rFonts w:hint="default" w:ascii="Times New Roman" w:hAnsi="Times New Roman" w:eastAsia="方正仿宋_GBK" w:cs="Times New Roman"/>
          <w:color w:val="auto"/>
          <w:sz w:val="32"/>
          <w:szCs w:val="32"/>
          <w:lang w:eastAsia="zh-CN"/>
        </w:rPr>
        <w:t>，选派2名局中层干部赴基层挂职副院长、20名基层骨干到局机关挂职锻炼和跟班学习，各基层机构之间人才交流35人。招录专技人员93名，引进高层次卫生管理类、专技类人才30余人。通过“医联体”“东西部扶贫”“跨国交流”等渠道，选派50余名基层业务骨干到市级医院进修、18名医疗骨干赴陕西旬阳开展支医工作，1名卫生监督员赴国家卫健委上挂锻炼、6名管理人才赴国外开展进修交流。</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创新“总量核定、统筹管理、科学设岗、动态配置、过程监管”的“区管院用”人才配置机制，构建编制“储备池”，增核100名备案制人员用于基层医疗卫生机构专业技术人员的实际调配，2020年首批选录50名备案制管理人员。探索设立专项人才编制，对急需引进的紧缺医疗卫生人才，开辟“绿色”通道。设立“特设岗位”“创新岗位”“流动岗位”，实行超岗位聘用。探索全省基层卫生人才统一招聘、校园招聘等招引模式，完善高层次专业型、紧缺型、管理型专家人才库，设置“青苗基金”“康益基金”人才奖励，累计奖励40万元。制定《天宁区优秀基层卫生骨干人才考核方案》，评选基层骨干人才省级40人、市级105人，合计奖励金额284万元；通过“一事一议”“特事特议”方式，引进管理型、专科型等多名专家，4名专家获区级“领军人才”表彰奖励。</w:t>
      </w:r>
      <w:bookmarkStart w:id="32" w:name="_Toc68722392"/>
    </w:p>
    <w:p>
      <w:pPr>
        <w:pStyle w:val="5"/>
        <w:keepNext w:val="0"/>
        <w:keepLines w:val="0"/>
        <w:pageBreakBefore w:val="0"/>
        <w:wordWrap/>
        <w:overflowPunct/>
        <w:topLinePunct w:val="0"/>
        <w:bidi w:val="0"/>
        <w:spacing w:line="570" w:lineRule="exact"/>
        <w:rPr>
          <w:rFonts w:hint="default" w:ascii="Times New Roman" w:hAnsi="Times New Roman" w:cs="Times New Roman"/>
          <w:color w:val="auto"/>
        </w:rPr>
      </w:pPr>
      <w:bookmarkStart w:id="33" w:name="_Toc31915"/>
      <w:r>
        <w:rPr>
          <w:rFonts w:hint="default" w:ascii="Times New Roman" w:hAnsi="Times New Roman" w:cs="Times New Roman"/>
          <w:color w:val="auto"/>
        </w:rPr>
        <w:t>9</w:t>
      </w:r>
      <w:r>
        <w:rPr>
          <w:rFonts w:hint="eastAsia" w:cs="Times New Roman"/>
          <w:color w:val="auto"/>
          <w:lang w:val="en-US" w:eastAsia="zh-CN"/>
        </w:rPr>
        <w:t xml:space="preserve">. </w:t>
      </w:r>
      <w:r>
        <w:rPr>
          <w:rFonts w:hint="default" w:ascii="Times New Roman" w:hAnsi="Times New Roman" w:cs="Times New Roman"/>
          <w:color w:val="auto"/>
        </w:rPr>
        <w:t>中医药事业不断发展</w:t>
      </w:r>
      <w:bookmarkEnd w:id="32"/>
      <w:bookmarkEnd w:id="33"/>
      <w:r>
        <w:rPr>
          <w:rFonts w:hint="default" w:ascii="Times New Roman" w:hAnsi="Times New Roman" w:cs="Times New Roman"/>
          <w:color w:val="auto"/>
        </w:rPr>
        <w:tab/>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十三五”期间，建立长效投入机制，不断优化经费结构，明确在人才队伍、重点特色专科、中医应急能力建设和中医药健康管理服务等方面给予资金扶持。新增中医门诊部（中医综合诊所）17个，中医备案诊所16个。目前，镇卫生院、社区卫生服务中心均能够提供中药饮片、针刺、艾灸等6类15项以上中医药适宜技术。服务站、村卫生室均能开展4类5项以上中医药适宜技术，基本实现全区基层中医药服务全覆盖。持续推进中医综合服务区的建设，重点推进天宁街道社区卫生服务中心省级中医馆建设项目，镇卫生院、社区卫生服务中心按照省级中医馆建设标准完成了中医馆建设。40%的村卫生室和社区卫生服务站按照标准设立中医综合服务区。顺利通过全国基层中医药工作先进单位复评和基层中医药服务能力提升工程“十三五”行动计划省级中期评估。</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同时，以“一中心一特色”为目标，鼓励基层医疗卫生机构开展专科建设，实行差异化发展。实施“天宁区社区名中医工程”，已命名挂牌了11个“天宁区名中医工作室”。通过医联体建设，涌现了一批深受群众欢迎的特色专科，雕庄街道社区卫生中心烧烫伤、甲状腺专科、红梅街道社区卫生中心的针灸推拿科、茶山街道社区卫生中心的中医整脊科均为市特色专科。北环社区卫生中心的“银屑病羊肠线穴位植入疗法”成为常州市首个社区指导性科技项目。发挥名中医的引领和带头作用，制定名中医工作室基层工作站建设计划，推进雕庄、青龙、天宁街道社区卫生服务中心市级名中医工作室基层工作站项目，茶山街道社区卫生服务中心成功申报王彩华、常惠市级名中医工作室项目。</w:t>
      </w:r>
    </w:p>
    <w:p>
      <w:pPr>
        <w:pStyle w:val="5"/>
        <w:keepNext w:val="0"/>
        <w:keepLines w:val="0"/>
        <w:pageBreakBefore w:val="0"/>
        <w:kinsoku/>
        <w:wordWrap/>
        <w:overflowPunct/>
        <w:topLinePunct w:val="0"/>
        <w:bidi w:val="0"/>
        <w:spacing w:line="570" w:lineRule="exact"/>
        <w:ind w:firstLine="643" w:firstLineChars="200"/>
        <w:jc w:val="both"/>
        <w:textAlignment w:val="auto"/>
        <w:rPr>
          <w:rFonts w:hint="default" w:ascii="Times New Roman" w:hAnsi="Times New Roman" w:eastAsia="方正仿宋_GBK" w:cs="Times New Roman"/>
          <w:b/>
          <w:bCs/>
          <w:color w:val="auto"/>
          <w:sz w:val="32"/>
          <w:szCs w:val="32"/>
        </w:rPr>
      </w:pPr>
      <w:bookmarkStart w:id="34" w:name="_Toc19967"/>
      <w:bookmarkStart w:id="35" w:name="_Toc68722393"/>
      <w:r>
        <w:rPr>
          <w:rFonts w:hint="default" w:ascii="Times New Roman" w:hAnsi="Times New Roman" w:eastAsia="方正仿宋_GBK" w:cs="Times New Roman"/>
          <w:b/>
          <w:bCs/>
          <w:color w:val="auto"/>
          <w:sz w:val="32"/>
          <w:szCs w:val="32"/>
        </w:rPr>
        <w:t>10</w:t>
      </w:r>
      <w:r>
        <w:rPr>
          <w:rFonts w:hint="eastAsia" w:cs="Times New Roman"/>
          <w:color w:val="auto"/>
          <w:lang w:val="en-US" w:eastAsia="zh-CN"/>
        </w:rPr>
        <w:t xml:space="preserve">. </w:t>
      </w:r>
      <w:r>
        <w:rPr>
          <w:rFonts w:hint="default" w:ascii="Times New Roman" w:hAnsi="Times New Roman" w:eastAsia="方正仿宋_GBK" w:cs="Times New Roman"/>
          <w:b/>
          <w:bCs/>
          <w:color w:val="auto"/>
          <w:sz w:val="32"/>
          <w:szCs w:val="32"/>
        </w:rPr>
        <w:t>综合监督管理水平再上台阶</w:t>
      </w:r>
      <w:bookmarkEnd w:id="34"/>
      <w:bookmarkEnd w:id="35"/>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十三五”期间，全区整合行政执法力量，加强区级卫生监督队伍建设。强化事中事后监管，建立各类违法违纪“黑名单”制度和医疗机构法定代表人（主要负责人）约谈制度，深入实施常州市医疗机构信用等级管理评价、医疗机构执业严重失信惩戒管理和医师不良执业行为记分管理，积极融入“守信激励和失信惩戒”联合奖惩体系。扎实推进“江苏政务服务一张网”审批工作，全面推行“双随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eastAsia="zh-CN"/>
        </w:rPr>
        <w:t>一公开”抽查。作为全省12家试点单位之一启动行政执法全过程记录试点工作，探索信息化执法新模式，在全国文明城市测评、城市长效管理考评等工作中发挥突出作用。重拳打击非法行医行为，以政府规范性文件下发《天宁区非法行医举报奖励办法》，截至“十三五”末期，共实施卫生行政处罚156起，共计罚没款约119万元。全力做好职业安全健康监管，探索分级分类管理和综合治理，形成“1+1+1”日常监管+综合执法+技术保障的工作架构模式，夯实职业病危害治理工作基础。</w:t>
      </w:r>
    </w:p>
    <w:p>
      <w:pPr>
        <w:pStyle w:val="4"/>
        <w:keepNext w:val="0"/>
        <w:keepLines w:val="0"/>
        <w:pageBreakBefore w:val="0"/>
        <w:kinsoku/>
        <w:wordWrap/>
        <w:overflowPunct/>
        <w:topLinePunct w:val="0"/>
        <w:bidi w:val="0"/>
        <w:spacing w:line="570" w:lineRule="exact"/>
        <w:ind w:firstLine="640" w:firstLineChars="200"/>
        <w:jc w:val="both"/>
        <w:textAlignment w:val="auto"/>
        <w:rPr>
          <w:rFonts w:hint="default" w:ascii="Times New Roman" w:hAnsi="Times New Roman" w:eastAsia="方正楷体_GBK" w:cs="Times New Roman"/>
          <w:b w:val="0"/>
          <w:bCs w:val="0"/>
          <w:color w:val="auto"/>
          <w:sz w:val="32"/>
          <w:szCs w:val="32"/>
        </w:rPr>
      </w:pPr>
      <w:bookmarkStart w:id="36" w:name="_Toc68722394"/>
      <w:bookmarkStart w:id="37" w:name="_Toc32125"/>
      <w:r>
        <w:rPr>
          <w:rFonts w:hint="default" w:ascii="Times New Roman" w:hAnsi="Times New Roman" w:eastAsia="方正楷体_GBK" w:cs="Times New Roman"/>
          <w:b w:val="0"/>
          <w:bCs w:val="0"/>
          <w:color w:val="auto"/>
          <w:sz w:val="32"/>
          <w:szCs w:val="32"/>
        </w:rPr>
        <w:t>（二）“十四五”时期卫生健康事业发展面临的形势和挑战</w:t>
      </w:r>
      <w:bookmarkEnd w:id="36"/>
      <w:bookmarkEnd w:id="37"/>
    </w:p>
    <w:p>
      <w:pPr>
        <w:pStyle w:val="5"/>
        <w:keepNext w:val="0"/>
        <w:keepLines w:val="0"/>
        <w:pageBreakBefore w:val="0"/>
        <w:kinsoku/>
        <w:wordWrap/>
        <w:overflowPunct/>
        <w:topLinePunct w:val="0"/>
        <w:bidi w:val="0"/>
        <w:spacing w:line="570" w:lineRule="exact"/>
        <w:ind w:firstLine="643" w:firstLineChars="200"/>
        <w:jc w:val="both"/>
        <w:textAlignment w:val="auto"/>
        <w:rPr>
          <w:rFonts w:hint="default" w:ascii="Times New Roman" w:hAnsi="Times New Roman" w:eastAsia="方正仿宋_GBK" w:cs="Times New Roman"/>
          <w:b/>
          <w:bCs/>
          <w:color w:val="auto"/>
          <w:sz w:val="32"/>
          <w:szCs w:val="40"/>
        </w:rPr>
      </w:pPr>
      <w:bookmarkStart w:id="38" w:name="_Toc68722395"/>
      <w:bookmarkStart w:id="39" w:name="_Toc36515549"/>
      <w:bookmarkStart w:id="40" w:name="_Toc23810"/>
      <w:r>
        <w:rPr>
          <w:rFonts w:hint="default" w:ascii="Times New Roman" w:hAnsi="Times New Roman" w:eastAsia="方正仿宋_GBK" w:cs="Times New Roman"/>
          <w:b/>
          <w:bCs/>
          <w:color w:val="auto"/>
          <w:sz w:val="32"/>
          <w:szCs w:val="40"/>
        </w:rPr>
        <w:t>1</w:t>
      </w:r>
      <w:r>
        <w:rPr>
          <w:rFonts w:hint="eastAsia" w:cs="Times New Roman"/>
          <w:color w:val="auto"/>
          <w:lang w:val="en-US" w:eastAsia="zh-CN"/>
        </w:rPr>
        <w:t xml:space="preserve">. </w:t>
      </w:r>
      <w:r>
        <w:rPr>
          <w:rFonts w:hint="default" w:ascii="Times New Roman" w:hAnsi="Times New Roman" w:eastAsia="方正仿宋_GBK" w:cs="Times New Roman"/>
          <w:b/>
          <w:bCs/>
          <w:color w:val="auto"/>
          <w:sz w:val="32"/>
          <w:szCs w:val="40"/>
        </w:rPr>
        <w:t>当前卫生健康事业发展面临的形势</w:t>
      </w:r>
      <w:bookmarkEnd w:id="38"/>
      <w:bookmarkEnd w:id="39"/>
      <w:bookmarkEnd w:id="40"/>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十三五”期间，常州市天宁区在卫生健康事业发展取得了显著成效，但全区卫生健康事业发展水平与人民群众日益发展的多元化健康需求以及经济社会协调发展的总体目标还存在不相适应之处，卫生健康事业发展的体制性、机制性、结构性等矛盾还没能从根本上获得解决。</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是卫生人才队伍建设亟需加强。“十三五”期间，天宁区加大对医疗机构的财政补偿，积极改善全区群众区内就医环境，满足区内群众看病检查需求，效果明显。但医疗卫生人才总量不足，梯队建设不合理的情况没有得到根本改善，距离江苏省提出的“卫生强省”战略，到2020年城乡每万名居民有4-5名合格全科医生的目标仍有较大距离。基层卫生人才队伍建设相对滞后，知识结构上，高级职称人才偏少，高学历人才比例不高，缺乏学科带头人；岗位分布上，影像、临床、康复类专业人才缺乏较为明显，儿科、妇科人才比例严重不足。“十三五”期间，面向社会公开招聘基层医护人员中，普遍存在招录本科及以上卫技类人才招不到、招不满的情况，年均招录率仅有60%，其中儿科、影像等紧缺型专业人才年均招录率仅有35%。对基层卫生机构人才的激励方式不够多、奖励有限，难以从根本上调动人才的积极性。受到职称、待遇等因素制约，基层医疗卫生机构人才流失严重。</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是公共卫生体系建设仍需完善。医防结合尚需完善，突发事件处置体系还待加强。各部门对“健康融入所有政策”理解差异较大，对预防为主方针理解不够，医疗和公共卫生系统之间的协调和配合存在一定的先天缺陷。能力提升还需加强，三级防控体系建设有待强化。疾控机构应急能力跟应急工作要求还存在差距，基层医疗卫生机构整体硬件设施落后，医疗救治能力薄弱，院感防控设施及技术难以应对新发传染病。防控机制急需改善，群防群控机制尚待全面落实。应急状态下全区医疗卫生机构动员响应、区域联动和人员调集机制缺乏，疫情信息收集、上报和预警机制仍未落实，公共卫生机构、医疗机构、社区分工协作机制不健全、缺乏联通共享。保障机制仍不明晰，人才队伍建设还需不断加强。对照我国卫生投入长期维持在GDP的5%，天宁区卫生投入存在较大差距。在有限的财政投入中，公共卫生占比更低，且公共卫生经费投入方式单一。基层医疗机构公共卫生医师配备严重不足，疾控中心高层次专业人才缺乏，与日益繁重的疾控任务不相适应。</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是医疗卫生服务体系仍有待完善。分级诊疗政策体系逐步完善，但是各级各类医疗机构间有效的合作机制仍有待建立，医疗卫生机构间协同服务不够，“基层首诊、双向转诊、急慢分治、上下联动”的分级诊疗模式尚未建立。各级各类医疗卫生机构须各自功能定位和任务不够明确，医疗卫生资源的配置效率和医疗技术水平有待进一步提高，以全科医生为重点的基础医疗卫生人才队伍建设仍需加强，基层医疗卫生服务能力和水平有待加强，基层首诊率、区内就诊率有待提高。</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四是基层卫生体系服务能力有待提升。“大卫生、大健康”理念还未牢固树立，医疗资源特别是优质资源不足，基层医务人员学习交流的平台和渠道还有待加强，诊疗水平有待提高，深化医改工作任务依然繁重，重大疾病防治形势依然严峻。基层服务能力薄弱仍然是最明显、最大的短板，也直接影响着基层医疗服务质量。机构基础设施建设任务艰巨，建设资金保障面临一定困难，统筹各方资源，完善区域协调发展仍需深入思考举措。</w:t>
      </w:r>
      <w:bookmarkStart w:id="41" w:name="_Toc67868051"/>
      <w:bookmarkStart w:id="42" w:name="_Toc67867911"/>
      <w:bookmarkStart w:id="43" w:name="_Toc68720197"/>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五是人口老龄化进一步加深。近年来随着老年人口比重逐年增加，老年人的养老和医疗保健等服务需求日益增长，老年人生活照料、康复护理、医疗保健、心理健康等需求日益增长，给医疗卫生服务总量、结构、方式带来全新影响，如何满足老年人口的医疗需求成为了卫生事业发展的一个问题，迫切需要多元化的医疗卫生服务。</w:t>
      </w:r>
      <w:bookmarkEnd w:id="41"/>
      <w:bookmarkEnd w:id="42"/>
      <w:bookmarkEnd w:id="43"/>
      <w:bookmarkStart w:id="44" w:name="_Toc68720198"/>
      <w:bookmarkStart w:id="45" w:name="_Toc67867912"/>
      <w:bookmarkStart w:id="46" w:name="_Toc67868052"/>
      <w:bookmarkStart w:id="47" w:name="_Toc36515550"/>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六是人口家庭工作面临挑战。当前，随着机构改革发展调整，政府职能转变还不够到位，领导对人口家庭工作重视程度普遍减弱，基层计生机构和队伍面临瓦解，群众生育意愿和政策不匹配，计生特殊家庭帮扶和实际需求不一致的问题，带来人口监测和家庭发展新问题和挑战。</w:t>
      </w:r>
      <w:bookmarkEnd w:id="44"/>
      <w:bookmarkEnd w:id="45"/>
      <w:bookmarkEnd w:id="46"/>
    </w:p>
    <w:p>
      <w:pPr>
        <w:pStyle w:val="5"/>
        <w:keepNext w:val="0"/>
        <w:keepLines w:val="0"/>
        <w:pageBreakBefore w:val="0"/>
        <w:kinsoku/>
        <w:wordWrap/>
        <w:overflowPunct/>
        <w:topLinePunct w:val="0"/>
        <w:bidi w:val="0"/>
        <w:spacing w:line="570" w:lineRule="exact"/>
        <w:ind w:firstLine="643" w:firstLineChars="200"/>
        <w:jc w:val="both"/>
        <w:textAlignment w:val="auto"/>
        <w:rPr>
          <w:rFonts w:hint="default" w:ascii="Times New Roman" w:hAnsi="Times New Roman" w:eastAsia="方正仿宋_GBK" w:cs="Times New Roman"/>
          <w:b/>
          <w:bCs/>
          <w:color w:val="auto"/>
          <w:sz w:val="32"/>
          <w:szCs w:val="40"/>
        </w:rPr>
      </w:pPr>
      <w:bookmarkStart w:id="48" w:name="_Toc11049"/>
      <w:bookmarkStart w:id="49" w:name="_Toc68722396"/>
      <w:r>
        <w:rPr>
          <w:rFonts w:hint="default" w:ascii="Times New Roman" w:hAnsi="Times New Roman" w:eastAsia="方正仿宋_GBK" w:cs="Times New Roman"/>
          <w:b/>
          <w:bCs/>
          <w:color w:val="auto"/>
          <w:sz w:val="32"/>
          <w:szCs w:val="40"/>
        </w:rPr>
        <w:t>2</w:t>
      </w:r>
      <w:r>
        <w:rPr>
          <w:rFonts w:hint="eastAsia" w:cs="Times New Roman"/>
          <w:color w:val="auto"/>
          <w:lang w:val="en-US" w:eastAsia="zh-CN"/>
        </w:rPr>
        <w:t xml:space="preserve">. </w:t>
      </w:r>
      <w:r>
        <w:rPr>
          <w:rFonts w:hint="default" w:ascii="Times New Roman" w:hAnsi="Times New Roman" w:eastAsia="方正仿宋_GBK" w:cs="Times New Roman"/>
          <w:b/>
          <w:bCs/>
          <w:color w:val="auto"/>
          <w:sz w:val="32"/>
          <w:szCs w:val="40"/>
        </w:rPr>
        <w:t>卫生健康事业发展面临的机遇与挑战</w:t>
      </w:r>
      <w:bookmarkEnd w:id="47"/>
      <w:bookmarkEnd w:id="48"/>
      <w:bookmarkEnd w:id="49"/>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四五”时期是坚持党的全面领导、坚持深化改革开放、坚持系统观念、坚持新发展理念、坚持以人民为中心，从2020年到2035年，在全面建成小康社会的基础上，再奋斗15年，基本实现社会主义现代化的第一个关键性五年，也是常州市天宁区实现卫生与健康事业发展水平与人民群众的健康需求以及经济社会协调发展的要求相适应的关键时期，十九届五中全会提出大力发展卫生健康事业的要求，新冠疫情带来加快提高卫生健康供给质量和服务水平的刚性需求，全区卫生健康事业发展面临重要的机遇和挑战。人口老龄化加剧，人口流动频繁，两孩政策的实施与全面生育政策放开的客观预测，对做好0</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3岁婴幼儿托育工作、妇幼健康服务、老年群体健康服务均提出更高要求，进一步加大了医疗卫生服务的供给压力；经济社会转型中居民生活环境与生活方式、人群疾病谱快速变化，相关疾病和危险因素成为主要的健康问题，恶性肿瘤、脑血管病、糖尿病等重大慢病以及传染病的防控是关注的重点；医疗卫生资源总量相对不足，布局结构不合理尚未根本改变，基层服务能力仍是短板，医疗保障水平有待进一步提高；医药卫生体制改革进入攻坚阶段，补偿机制、运行机制、人事薪酬制度有待进一步完善，综合监管制度有待进一步健全；随着“互联网+”等现代信息技术和医学新技术的不断创新和应用，加强医疗和健康信息化体系的构建和管理，建立覆盖天宁区的健康信息平台，及时、实时、准确收集居民健康信息，并精准分析和挖掘利用。</w:t>
      </w:r>
    </w:p>
    <w:p>
      <w:pPr>
        <w:pStyle w:val="3"/>
        <w:keepNext w:val="0"/>
        <w:keepLines w:val="0"/>
        <w:pageBreakBefore w:val="0"/>
        <w:wordWrap/>
        <w:overflowPunct/>
        <w:topLinePunct w:val="0"/>
        <w:bidi w:val="0"/>
        <w:spacing w:line="570" w:lineRule="exact"/>
        <w:rPr>
          <w:rFonts w:hint="default" w:ascii="Times New Roman" w:hAnsi="Times New Roman" w:cs="Times New Roman"/>
          <w:color w:val="auto"/>
          <w:lang w:val="en-US" w:eastAsia="zh-CN"/>
        </w:rPr>
      </w:pPr>
      <w:bookmarkStart w:id="50" w:name="_Toc68722397"/>
      <w:bookmarkStart w:id="51" w:name="_Toc5760"/>
      <w:r>
        <w:rPr>
          <w:rFonts w:hint="default" w:ascii="Times New Roman" w:hAnsi="Times New Roman" w:cs="Times New Roman"/>
          <w:color w:val="auto"/>
          <w:lang w:val="en-US" w:eastAsia="zh-CN"/>
        </w:rPr>
        <w:t>二、指导思想和发展目标</w:t>
      </w:r>
      <w:bookmarkEnd w:id="50"/>
      <w:bookmarkEnd w:id="51"/>
    </w:p>
    <w:p>
      <w:pPr>
        <w:pStyle w:val="4"/>
        <w:keepNext w:val="0"/>
        <w:keepLines w:val="0"/>
        <w:pageBreakBefore w:val="0"/>
        <w:wordWrap/>
        <w:overflowPunct/>
        <w:topLinePunct w:val="0"/>
        <w:bidi w:val="0"/>
        <w:spacing w:line="570" w:lineRule="exact"/>
        <w:rPr>
          <w:rFonts w:hint="default" w:ascii="Times New Roman" w:hAnsi="Times New Roman" w:cs="Times New Roman"/>
          <w:color w:val="auto"/>
          <w:lang w:val="en-US" w:eastAsia="zh-CN"/>
        </w:rPr>
      </w:pPr>
      <w:bookmarkStart w:id="52" w:name="_Toc16196"/>
      <w:bookmarkStart w:id="53" w:name="_Toc68722398"/>
      <w:r>
        <w:rPr>
          <w:rFonts w:hint="default" w:ascii="Times New Roman" w:hAnsi="Times New Roman" w:cs="Times New Roman"/>
          <w:color w:val="auto"/>
          <w:lang w:val="en-US" w:eastAsia="zh-CN"/>
        </w:rPr>
        <w:t>（一）指导思想</w:t>
      </w:r>
      <w:bookmarkEnd w:id="52"/>
      <w:bookmarkEnd w:id="53"/>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以习近平新时代中国特色社会主义思想为指导，全面贯彻党的十九大和十九届历次全会精神，深入贯彻落实习近平总书记系列重要讲话尤其是有关健康中国的重要论述精神，认真贯彻落实新时期卫生健康发展方针和市委“532”发展战略、区委“3511”发展战略，大力弘扬“志存高远、务实笃行”的天宁精神，建立健全医疗卫生服务体系，统筹推进基础设施建设和体制机制改革，强化公共卫生和疾控体系保障，深入推进卫生健康公共资源向基层延伸、向农村覆盖、向生活困难群众倾斜，推进卫生健康基本公共服务均等化、普惠化、便捷化，推进卫生健康公共服务主体多元化、方式多样化，将健康融入所有政策，为辖区百姓提供全方位全周期的健康服务，为天宁打造“长三角三新经济高地，现代化城乡治理样板”做出应有贡献。</w:t>
      </w:r>
    </w:p>
    <w:p>
      <w:pPr>
        <w:pStyle w:val="4"/>
        <w:keepNext w:val="0"/>
        <w:keepLines w:val="0"/>
        <w:pageBreakBefore w:val="0"/>
        <w:wordWrap/>
        <w:overflowPunct/>
        <w:topLinePunct w:val="0"/>
        <w:bidi w:val="0"/>
        <w:spacing w:line="570" w:lineRule="exact"/>
        <w:rPr>
          <w:rFonts w:hint="default" w:ascii="Times New Roman" w:hAnsi="Times New Roman" w:cs="Times New Roman"/>
          <w:color w:val="auto"/>
          <w:lang w:val="en-US" w:eastAsia="zh-CN"/>
        </w:rPr>
      </w:pPr>
      <w:bookmarkStart w:id="54" w:name="_Toc68722399"/>
      <w:bookmarkStart w:id="55" w:name="_Toc14"/>
      <w:r>
        <w:rPr>
          <w:rFonts w:hint="default" w:ascii="Times New Roman" w:hAnsi="Times New Roman" w:cs="Times New Roman"/>
          <w:color w:val="auto"/>
          <w:lang w:val="en-US" w:eastAsia="zh-CN"/>
        </w:rPr>
        <w:t>（二）基本原则</w:t>
      </w:r>
      <w:bookmarkEnd w:id="54"/>
      <w:bookmarkEnd w:id="55"/>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bookmarkStart w:id="56" w:name="_Toc68720476"/>
      <w:bookmarkStart w:id="57" w:name="_Toc23066"/>
      <w:bookmarkStart w:id="58" w:name="_Toc68721688"/>
      <w:r>
        <w:rPr>
          <w:rStyle w:val="17"/>
          <w:rFonts w:hint="default" w:ascii="Times New Roman" w:hAnsi="Times New Roman" w:cs="Times New Roman"/>
          <w:color w:val="auto"/>
          <w:lang w:val="en-US" w:eastAsia="zh-CN"/>
        </w:rPr>
        <w:t>1</w:t>
      </w:r>
      <w:r>
        <w:rPr>
          <w:rFonts w:hint="eastAsia" w:cs="Times New Roman"/>
          <w:color w:val="auto"/>
          <w:lang w:val="en-US" w:eastAsia="zh-CN"/>
        </w:rPr>
        <w:t xml:space="preserve">. </w:t>
      </w:r>
      <w:r>
        <w:rPr>
          <w:rStyle w:val="17"/>
          <w:rFonts w:hint="default" w:ascii="Times New Roman" w:hAnsi="Times New Roman" w:cs="Times New Roman"/>
          <w:color w:val="auto"/>
          <w:lang w:val="en-US" w:eastAsia="zh-CN"/>
        </w:rPr>
        <w:t>坚持把保障人民健康放在优先发展的战略位置。</w:t>
      </w:r>
      <w:bookmarkEnd w:id="56"/>
      <w:bookmarkEnd w:id="57"/>
      <w:bookmarkEnd w:id="58"/>
      <w:r>
        <w:rPr>
          <w:rFonts w:hint="default" w:ascii="Times New Roman" w:hAnsi="Times New Roman" w:eastAsia="方正仿宋_GBK" w:cs="Times New Roman"/>
          <w:color w:val="auto"/>
          <w:sz w:val="32"/>
          <w:szCs w:val="32"/>
          <w:lang w:val="en-US" w:eastAsia="zh-CN"/>
        </w:rPr>
        <w:t>发展为了人民，发展依靠人民，发展成果由人民共享。要充分体现以人民为中心的发展思想，凸显推动卫生健康事业发展的重要意义。十四五期间要坚持人民至上、生命至上，切实把保障人民健康与提振地方经济建设相结合，发展理念体现健康优先，发展规划突出健康目标，实现健康与经济协调发展。</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bookmarkStart w:id="59" w:name="_Toc19883"/>
      <w:r>
        <w:rPr>
          <w:rStyle w:val="17"/>
          <w:rFonts w:hint="default" w:ascii="Times New Roman" w:hAnsi="Times New Roman" w:cs="Times New Roman"/>
          <w:color w:val="auto"/>
          <w:lang w:val="en-US" w:eastAsia="zh-CN"/>
        </w:rPr>
        <w:t>2</w:t>
      </w:r>
      <w:r>
        <w:rPr>
          <w:rFonts w:hint="eastAsia" w:cs="Times New Roman"/>
          <w:color w:val="auto"/>
          <w:lang w:val="en-US" w:eastAsia="zh-CN"/>
        </w:rPr>
        <w:t xml:space="preserve">. </w:t>
      </w:r>
      <w:r>
        <w:rPr>
          <w:rStyle w:val="17"/>
          <w:rFonts w:hint="default" w:ascii="Times New Roman" w:hAnsi="Times New Roman" w:cs="Times New Roman"/>
          <w:color w:val="auto"/>
          <w:lang w:val="en-US" w:eastAsia="zh-CN"/>
        </w:rPr>
        <w:t>坚持政府主导实现多元共同发展。</w:t>
      </w:r>
      <w:bookmarkEnd w:id="59"/>
      <w:r>
        <w:rPr>
          <w:rFonts w:hint="default" w:ascii="Times New Roman" w:hAnsi="Times New Roman" w:eastAsia="方正仿宋_GBK" w:cs="Times New Roman"/>
          <w:color w:val="auto"/>
          <w:sz w:val="32"/>
          <w:szCs w:val="32"/>
          <w:lang w:val="en-US" w:eastAsia="zh-CN"/>
        </w:rPr>
        <w:t>落实政府办医责任，强化政府保基本职责，维护公共医疗卫生公益性。推动卫生与健康事业发展从以治病为中心向以人民健康为中心转变，在资源配置和资金投入方面向公共卫生工作倾斜。实施政府和社会“两轮驱动”，促进多元化共同发展，支持社会力量参与医疗卫生事业，满足人民群众多层次、多样化的健康服务需求。</w:t>
      </w:r>
    </w:p>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7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bookmarkStart w:id="60" w:name="_Toc10505"/>
      <w:bookmarkStart w:id="61" w:name="_Toc68720201"/>
      <w:bookmarkStart w:id="62" w:name="_Toc67867915"/>
      <w:bookmarkStart w:id="63" w:name="_Toc68720477"/>
      <w:bookmarkStart w:id="64" w:name="_Toc67868055"/>
      <w:bookmarkStart w:id="65" w:name="_Toc68721689"/>
      <w:r>
        <w:rPr>
          <w:rStyle w:val="17"/>
          <w:rFonts w:hint="default" w:ascii="Times New Roman" w:hAnsi="Times New Roman" w:cs="Times New Roman"/>
          <w:color w:val="auto"/>
          <w:lang w:val="en-US" w:eastAsia="zh-CN"/>
        </w:rPr>
        <w:t>3</w:t>
      </w:r>
      <w:r>
        <w:rPr>
          <w:rFonts w:hint="eastAsia" w:cs="Times New Roman"/>
          <w:color w:val="auto"/>
          <w:lang w:val="en-US" w:eastAsia="zh-CN"/>
        </w:rPr>
        <w:t xml:space="preserve">. </w:t>
      </w:r>
      <w:r>
        <w:rPr>
          <w:rStyle w:val="17"/>
          <w:rFonts w:hint="default" w:ascii="Times New Roman" w:hAnsi="Times New Roman" w:cs="Times New Roman"/>
          <w:color w:val="auto"/>
          <w:lang w:val="en-US" w:eastAsia="zh-CN"/>
        </w:rPr>
        <w:t>坚持以改革创新激发卫生健康事业活力。</w:t>
      </w:r>
      <w:bookmarkEnd w:id="60"/>
      <w:r>
        <w:rPr>
          <w:rFonts w:hint="default" w:ascii="Times New Roman" w:hAnsi="Times New Roman" w:eastAsia="方正仿宋_GBK" w:cs="Times New Roman"/>
          <w:color w:val="auto"/>
          <w:sz w:val="32"/>
          <w:szCs w:val="32"/>
          <w:lang w:val="en-US" w:eastAsia="zh-CN"/>
        </w:rPr>
        <w:t>十四五期间继续发展深化医药卫生体制改革，增加医疗资源，优化区域城乡布局，</w:t>
      </w:r>
      <w:bookmarkEnd w:id="61"/>
      <w:bookmarkEnd w:id="62"/>
      <w:bookmarkEnd w:id="63"/>
      <w:bookmarkEnd w:id="64"/>
      <w:bookmarkEnd w:id="65"/>
      <w:r>
        <w:rPr>
          <w:rFonts w:hint="default" w:ascii="Times New Roman" w:hAnsi="Times New Roman" w:eastAsia="方正仿宋_GBK" w:cs="Times New Roman"/>
          <w:color w:val="auto"/>
          <w:sz w:val="32"/>
          <w:szCs w:val="32"/>
          <w:lang w:val="en-US" w:eastAsia="zh-CN"/>
        </w:rPr>
        <w:t>要围绕制约卫生健康领域的体制机制障碍，更加注重医改的系统集成、协同高效,整合存量、优化增量、提升质量，深化卫生健康服务的供给侧结构性改革，注重发挥医疗卫生服务体系的整体功能，满足人民群众对健康生活的期望。遵循新时代卫生健康工作方针，以健康为中心，充分发挥中医药在健康促进、治未病、慢性病诊疗和康复领域的优势，中西医并重。</w:t>
      </w:r>
    </w:p>
    <w:p>
      <w:pPr>
        <w:pStyle w:val="12"/>
        <w:keepNext w:val="0"/>
        <w:keepLines w:val="0"/>
        <w:pageBreakBefore w:val="0"/>
        <w:shd w:val="clear" w:color="auto" w:fill="FFFFFF"/>
        <w:kinsoku/>
        <w:wordWrap/>
        <w:overflowPunct/>
        <w:topLinePunct w:val="0"/>
        <w:bidi w:val="0"/>
        <w:spacing w:before="0" w:beforeAutospacing="0" w:after="0" w:afterAutospacing="0" w:line="570" w:lineRule="exact"/>
        <w:ind w:firstLine="643" w:firstLineChars="200"/>
        <w:jc w:val="both"/>
        <w:textAlignment w:val="auto"/>
        <w:rPr>
          <w:rFonts w:hint="default" w:ascii="Times New Roman" w:hAnsi="Times New Roman" w:eastAsia="方正仿宋_GBK" w:cs="Times New Roman"/>
          <w:color w:val="auto"/>
          <w:sz w:val="32"/>
          <w:szCs w:val="32"/>
          <w:lang w:val="en-US" w:eastAsia="zh-CN"/>
        </w:rPr>
      </w:pPr>
      <w:bookmarkStart w:id="66" w:name="_Toc67867916"/>
      <w:bookmarkStart w:id="67" w:name="_Toc814"/>
      <w:bookmarkStart w:id="68" w:name="_Toc68721690"/>
      <w:bookmarkStart w:id="69" w:name="_Toc67868056"/>
      <w:bookmarkStart w:id="70" w:name="_Toc68720478"/>
      <w:bookmarkStart w:id="71" w:name="_Toc68720202"/>
      <w:r>
        <w:rPr>
          <w:rStyle w:val="17"/>
          <w:rFonts w:hint="default" w:ascii="Times New Roman" w:hAnsi="Times New Roman" w:cs="Times New Roman"/>
          <w:color w:val="auto"/>
          <w:lang w:val="en-US" w:eastAsia="zh-CN"/>
        </w:rPr>
        <w:t>4</w:t>
      </w:r>
      <w:r>
        <w:rPr>
          <w:rFonts w:hint="eastAsia" w:cs="Times New Roman"/>
          <w:color w:val="auto"/>
          <w:lang w:val="en-US" w:eastAsia="zh-CN"/>
        </w:rPr>
        <w:t xml:space="preserve">. </w:t>
      </w:r>
      <w:r>
        <w:rPr>
          <w:rStyle w:val="17"/>
          <w:rFonts w:hint="default" w:ascii="Times New Roman" w:hAnsi="Times New Roman" w:cs="Times New Roman"/>
          <w:color w:val="auto"/>
          <w:lang w:val="en-US" w:eastAsia="zh-CN"/>
        </w:rPr>
        <w:t>坚持补短板强弱项。</w:t>
      </w:r>
      <w:bookmarkEnd w:id="66"/>
      <w:bookmarkEnd w:id="67"/>
      <w:bookmarkEnd w:id="68"/>
      <w:bookmarkEnd w:id="69"/>
      <w:bookmarkEnd w:id="70"/>
      <w:bookmarkEnd w:id="71"/>
      <w:r>
        <w:rPr>
          <w:rFonts w:hint="default" w:ascii="Times New Roman" w:hAnsi="Times New Roman" w:eastAsia="方正仿宋_GBK" w:cs="Times New Roman"/>
          <w:color w:val="auto"/>
          <w:sz w:val="32"/>
          <w:szCs w:val="32"/>
          <w:lang w:val="en-US" w:eastAsia="zh-CN"/>
        </w:rPr>
        <w:t>面对医疗卫生事业发展不平衡不充分、基层服务能力不强、公共卫生应急体系发展滞后等问题，要坚持目标导向和问题导向相结合,加快补齐短板和弱项,把基本卫生健康服务体系建设得更加完善，进一步提高服务的公平性和可及性。</w:t>
      </w:r>
    </w:p>
    <w:p>
      <w:pPr>
        <w:pStyle w:val="4"/>
        <w:keepNext w:val="0"/>
        <w:keepLines w:val="0"/>
        <w:pageBreakBefore w:val="0"/>
        <w:kinsoku/>
        <w:wordWrap/>
        <w:overflowPunct/>
        <w:topLinePunct w:val="0"/>
        <w:bidi w:val="0"/>
        <w:spacing w:line="570" w:lineRule="exact"/>
        <w:ind w:firstLine="640" w:firstLineChars="200"/>
        <w:jc w:val="both"/>
        <w:textAlignment w:val="auto"/>
        <w:rPr>
          <w:rFonts w:hint="default" w:ascii="Times New Roman" w:hAnsi="Times New Roman" w:eastAsia="方正楷体_GBK" w:cs="Times New Roman"/>
          <w:b w:val="0"/>
          <w:bCs w:val="0"/>
          <w:color w:val="auto"/>
          <w:kern w:val="0"/>
          <w:sz w:val="32"/>
          <w:szCs w:val="32"/>
          <w:lang w:val="en-US" w:eastAsia="zh-CN" w:bidi="ar-SA"/>
        </w:rPr>
      </w:pPr>
      <w:bookmarkStart w:id="72" w:name="_Toc68722400"/>
      <w:bookmarkStart w:id="73" w:name="_Toc67867917"/>
      <w:bookmarkStart w:id="74" w:name="_Toc67868057"/>
      <w:bookmarkStart w:id="75" w:name="_Toc17589"/>
      <w:r>
        <w:rPr>
          <w:rFonts w:hint="default" w:ascii="Times New Roman" w:hAnsi="Times New Roman" w:eastAsia="方正楷体_GBK" w:cs="Times New Roman"/>
          <w:b w:val="0"/>
          <w:bCs w:val="0"/>
          <w:color w:val="auto"/>
          <w:kern w:val="0"/>
          <w:sz w:val="32"/>
          <w:szCs w:val="32"/>
          <w:lang w:val="en-US" w:eastAsia="zh-CN" w:bidi="ar-SA"/>
        </w:rPr>
        <w:t>（三）规划目标</w:t>
      </w:r>
      <w:bookmarkEnd w:id="72"/>
      <w:bookmarkEnd w:id="73"/>
      <w:bookmarkEnd w:id="74"/>
      <w:bookmarkEnd w:id="75"/>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十四五期间，我区卫生健康事业发展水平位于全市前列，到2025年建立起与人民群众健康需求相适应，与全面开启基本实现社会主义现代化建设新征程相衔接的高质量卫生健康服务体系，实现人人享有更高水平的基本医疗卫生服务，全区卫生健康资源配置更加合理，服务体系更加完善，治理体系和管理机制更加顺畅，服务模式更加科学，服务能力更加适应，居民重点慢病得到有效控制，医疗服务更加有效便捷，健康状况、生活质量不断改善，城乡居民健康主要指标接近发达国家水平、达到省内优质水平。</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——城乡居民健康水平主要指标进一步提高。人均期望寿命超过83岁，孕产妇死亡率、婴儿死亡率、5岁以下儿童死亡率保持良好控制水平。</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——现代医疗卫生体系建设进一步完善。公共卫生服务体系完善，疾病防控能力提升，医疗服务体系结构布局合理、优质高效，医疗保障体系覆盖城乡，药品供应保障体系公开透明，医疗卫生监管体系保障有力。</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——医药卫生体制改革进一步深化。实行医疗、医保、医药联动，“维护公益性、调动积极性、保障可持续”的医疗卫生运行新机制建立健全，政府主导的多元投入机制不断完善。</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卫生健康服务能力进一步加强。资源总量不断增加，城乡区域资源配置更趋均衡，卫生人才队伍建设总量适宜、结构优化。每千常住人口基层医疗卫生机构床位数达到1.2张，每万常住人口全科医生数不少于4-5人。基层能力建设全面达标，医学科技能力进一步增强，智慧医疗服务水平全面提高。</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人口均衡发展政策进一步落实。实施“三孩生育”政策，促进人口长期均衡发展，完善计划生育服务管理和家庭发展福利政策，有效控制出生缺陷发生率，促进出生人口性别比平衡，深入实施积极应对人口老龄化国家战略，全面推进3岁以下婴幼儿托育服务行动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表1</w:t>
      </w:r>
      <w:r>
        <w:rPr>
          <w:rFonts w:hint="default" w:ascii="Times New Roman" w:hAnsi="Times New Roman" w:eastAsia="方正仿宋_GBK" w:cs="Times New Roman"/>
          <w:b/>
          <w:bCs/>
          <w:color w:val="auto"/>
          <w:sz w:val="28"/>
          <w:szCs w:val="28"/>
          <w:lang w:val="en-US" w:eastAsia="zh-CN"/>
        </w:rPr>
        <w:t xml:space="preserve"> </w:t>
      </w:r>
      <w:r>
        <w:rPr>
          <w:rFonts w:hint="default" w:ascii="Times New Roman" w:hAnsi="Times New Roman" w:eastAsia="方正仿宋_GBK" w:cs="Times New Roman"/>
          <w:b/>
          <w:bCs/>
          <w:color w:val="auto"/>
          <w:sz w:val="28"/>
          <w:szCs w:val="28"/>
        </w:rPr>
        <w:t xml:space="preserve"> 天宁区“十四五”发展主要指标</w:t>
      </w:r>
    </w:p>
    <w:tbl>
      <w:tblPr>
        <w:tblStyle w:val="13"/>
        <w:tblW w:w="90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855"/>
        <w:gridCol w:w="834"/>
        <w:gridCol w:w="2405"/>
        <w:gridCol w:w="864"/>
        <w:gridCol w:w="1618"/>
        <w:gridCol w:w="1232"/>
        <w:gridCol w:w="1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47" w:hRule="atLeast"/>
          <w:tblHeader/>
          <w:jc w:val="center"/>
        </w:trPr>
        <w:tc>
          <w:tcPr>
            <w:tcW w:w="85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领域</w:t>
            </w: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序号</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主要指标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单位</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2020年</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2025年</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指标性质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787" w:hRule="atLeast"/>
          <w:jc w:val="center"/>
        </w:trPr>
        <w:tc>
          <w:tcPr>
            <w:tcW w:w="855" w:type="dxa"/>
            <w:vMerge w:val="restart"/>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健康</w:t>
            </w:r>
          </w:p>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水平</w:t>
            </w: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人均期望寿命</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岁</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82</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83</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3" w:hRule="atLeast"/>
          <w:jc w:val="center"/>
        </w:trPr>
        <w:tc>
          <w:tcPr>
            <w:tcW w:w="855" w:type="dxa"/>
            <w:vMerge w:val="continue"/>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孕产妇死亡率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2（2019）</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保持较好控制水平</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50" w:hRule="atLeast"/>
          <w:jc w:val="center"/>
        </w:trPr>
        <w:tc>
          <w:tcPr>
            <w:tcW w:w="855" w:type="dxa"/>
            <w:vMerge w:val="continue"/>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婴儿死亡率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2.45（2019）</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保持较好控制水平</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30" w:hRule="atLeast"/>
          <w:jc w:val="center"/>
        </w:trPr>
        <w:tc>
          <w:tcPr>
            <w:tcW w:w="855" w:type="dxa"/>
            <w:vMerge w:val="continue"/>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5岁以下儿童死亡率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3.67（2019）</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保持较好控制水平</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restart"/>
            <w:tcBorders>
              <w:tl2br w:val="nil"/>
              <w:tr2bl w:val="nil"/>
            </w:tcBorders>
            <w:shd w:val="clear" w:color="auto" w:fill="auto"/>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1"/>
                <w:sz w:val="24"/>
                <w:szCs w:val="24"/>
              </w:rPr>
              <w:t>疾病防控与爱国卫生</w:t>
            </w: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以乡（镇、街道）为单位适龄儿童免疫规划疫苗接种率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97.82</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保持免疫规划疫苗较高接种率</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continue"/>
            <w:tcBorders>
              <w:tl2br w:val="nil"/>
              <w:tr2bl w:val="nil"/>
            </w:tcBorders>
            <w:shd w:val="clear" w:color="auto" w:fill="auto"/>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肺结核发病率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/10万</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24.03</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保持较低发病水平</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continue"/>
            <w:tcBorders>
              <w:tl2br w:val="nil"/>
              <w:tr2bl w:val="nil"/>
            </w:tcBorders>
            <w:shd w:val="clear" w:color="auto" w:fill="auto"/>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因心脑血管疾病、癌症、慢性呼吸系统疾病和糖尿病导致的过早死亡率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8.97</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保持较好控制水平</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continue"/>
            <w:tcBorders>
              <w:tl2br w:val="nil"/>
              <w:tr2bl w:val="nil"/>
            </w:tcBorders>
            <w:shd w:val="clear" w:color="auto" w:fill="auto"/>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登记在册的严重精神障碍患者管理率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90.98</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保持较高管理水平</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continue"/>
            <w:tcBorders>
              <w:tl2br w:val="nil"/>
              <w:tr2bl w:val="nil"/>
            </w:tcBorders>
            <w:shd w:val="clear" w:color="auto" w:fill="auto"/>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孕产妇系统管理率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≥85</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≥90</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continue"/>
            <w:tcBorders>
              <w:tl2br w:val="nil"/>
              <w:tr2bl w:val="nil"/>
            </w:tcBorders>
            <w:shd w:val="clear" w:color="auto" w:fill="auto"/>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3岁以下儿童系统管理率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≥85</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保持较高管理水平</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continue"/>
            <w:tcBorders>
              <w:tl2br w:val="nil"/>
              <w:tr2bl w:val="nil"/>
            </w:tcBorders>
            <w:shd w:val="clear" w:color="auto" w:fill="auto"/>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11</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甲乙类传染病发病率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/10万</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55.85</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保持较低发病水平</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continue"/>
            <w:tcBorders>
              <w:tl2br w:val="nil"/>
              <w:tr2bl w:val="nil"/>
            </w:tcBorders>
            <w:shd w:val="clear" w:color="auto" w:fill="auto"/>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kern w:val="0"/>
                <w:sz w:val="24"/>
                <w:szCs w:val="24"/>
              </w:rPr>
              <w:t>高血压和糖尿病患者规范管理率</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66</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保持较高管理水平</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医疗服务</w:t>
            </w: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13</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基层医疗卫生机构诊疗量占总诊疗量的比重</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33.95</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≥60</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restart"/>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基层资源配置</w:t>
            </w: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14</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每千常住人口执业（助理）医师数</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6.36（全区）</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≥6.64</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continue"/>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15</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每千常住人口注册护士数</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8.74（全区）</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≥9.13</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continue"/>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16</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每万常住人口全科医生数</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人</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4</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340" w:hRule="atLeast"/>
          <w:jc w:val="center"/>
        </w:trPr>
        <w:tc>
          <w:tcPr>
            <w:tcW w:w="855" w:type="dxa"/>
            <w:vMerge w:val="continue"/>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p>
        </w:tc>
        <w:tc>
          <w:tcPr>
            <w:tcW w:w="83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17</w:t>
            </w:r>
          </w:p>
        </w:tc>
        <w:tc>
          <w:tcPr>
            <w:tcW w:w="2405"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每千常住人口医疗卫生机构床位数</w:t>
            </w:r>
          </w:p>
        </w:tc>
        <w:tc>
          <w:tcPr>
            <w:tcW w:w="864"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张</w:t>
            </w:r>
          </w:p>
        </w:tc>
        <w:tc>
          <w:tcPr>
            <w:tcW w:w="161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0.65</w:t>
            </w:r>
          </w:p>
        </w:tc>
        <w:tc>
          <w:tcPr>
            <w:tcW w:w="1232"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≥1.2</w:t>
            </w:r>
          </w:p>
        </w:tc>
        <w:tc>
          <w:tcPr>
            <w:tcW w:w="1247" w:type="dxa"/>
            <w:tcBorders>
              <w:tl2br w:val="nil"/>
              <w:tr2bl w:val="nil"/>
            </w:tcBorders>
            <w:tcMar>
              <w:top w:w="0" w:type="dxa"/>
              <w:bottom w:w="0" w:type="dxa"/>
            </w:tcMar>
            <w:vAlign w:val="center"/>
          </w:tcPr>
          <w:p>
            <w:pPr>
              <w:keepNext w:val="0"/>
              <w:keepLines w:val="0"/>
              <w:pageBreakBefore w:val="0"/>
              <w:widowControl w:val="0"/>
              <w:kinsoku/>
              <w:wordWrap/>
              <w:overflowPunct/>
              <w:topLinePunct w:val="0"/>
              <w:autoSpaceDE/>
              <w:autoSpaceDN/>
              <w:bidi w:val="0"/>
              <w:adjustRightInd w:val="0"/>
              <w:snapToGrid/>
              <w:spacing w:line="280" w:lineRule="exact"/>
              <w:ind w:firstLine="0" w:firstLineChars="0"/>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约束性</w:t>
            </w:r>
          </w:p>
        </w:tc>
      </w:tr>
    </w:tbl>
    <w:p>
      <w:pPr>
        <w:pStyle w:val="3"/>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黑体_GBK" w:cs="Times New Roman"/>
          <w:b w:val="0"/>
          <w:color w:val="auto"/>
          <w:kern w:val="0"/>
          <w:sz w:val="32"/>
          <w:szCs w:val="32"/>
          <w:lang w:val="en-US" w:eastAsia="zh-CN" w:bidi="ar-SA"/>
        </w:rPr>
      </w:pPr>
      <w:bookmarkStart w:id="76" w:name="_Toc4650"/>
      <w:bookmarkStart w:id="77" w:name="_Toc68722401"/>
      <w:r>
        <w:rPr>
          <w:rFonts w:hint="default" w:ascii="Times New Roman" w:hAnsi="Times New Roman" w:eastAsia="方正黑体_GBK" w:cs="Times New Roman"/>
          <w:b w:val="0"/>
          <w:color w:val="auto"/>
          <w:kern w:val="0"/>
          <w:sz w:val="32"/>
          <w:szCs w:val="32"/>
          <w:lang w:val="en-US" w:eastAsia="zh-CN" w:bidi="ar-SA"/>
        </w:rPr>
        <w:t>三、主要任务与重点工作</w:t>
      </w:r>
      <w:bookmarkEnd w:id="76"/>
      <w:bookmarkEnd w:id="77"/>
    </w:p>
    <w:p>
      <w:pPr>
        <w:pStyle w:val="4"/>
        <w:keepNext w:val="0"/>
        <w:keepLines w:val="0"/>
        <w:pageBreakBefore w:val="0"/>
        <w:wordWrap/>
        <w:overflowPunct/>
        <w:topLinePunct w:val="0"/>
        <w:bidi w:val="0"/>
        <w:jc w:val="both"/>
        <w:rPr>
          <w:rFonts w:hint="default" w:ascii="Times New Roman" w:hAnsi="Times New Roman" w:cs="Times New Roman"/>
          <w:color w:val="auto"/>
          <w:lang w:val="en-US" w:eastAsia="zh-CN"/>
        </w:rPr>
      </w:pPr>
      <w:bookmarkStart w:id="78" w:name="_Toc11743"/>
      <w:bookmarkStart w:id="79" w:name="_Toc68722402"/>
      <w:r>
        <w:rPr>
          <w:rFonts w:hint="default" w:ascii="Times New Roman" w:hAnsi="Times New Roman" w:cs="Times New Roman"/>
          <w:color w:val="auto"/>
          <w:lang w:val="en-US" w:eastAsia="zh-CN"/>
        </w:rPr>
        <w:t>（一）优化医疗卫生体系结构和功能布局</w:t>
      </w:r>
      <w:bookmarkEnd w:id="78"/>
      <w:bookmarkEnd w:id="79"/>
      <w:r>
        <w:rPr>
          <w:rFonts w:hint="default" w:ascii="Times New Roman" w:hAnsi="Times New Roman" w:cs="Times New Roman"/>
          <w:color w:val="auto"/>
          <w:lang w:val="en-US" w:eastAsia="zh-CN"/>
        </w:rPr>
        <w:tab/>
      </w:r>
    </w:p>
    <w:p>
      <w:pPr>
        <w:pStyle w:val="5"/>
        <w:keepNext w:val="0"/>
        <w:keepLines w:val="0"/>
        <w:pageBreakBefore w:val="0"/>
        <w:widowControl w:val="0"/>
        <w:kinsoku/>
        <w:wordWrap/>
        <w:overflowPunct/>
        <w:topLinePunct w:val="0"/>
        <w:autoSpaceDE/>
        <w:autoSpaceDN/>
        <w:bidi w:val="0"/>
        <w:adjustRightInd/>
        <w:snapToGrid/>
        <w:spacing w:line="57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bookmarkStart w:id="80" w:name="_Toc68722403"/>
      <w:bookmarkStart w:id="81" w:name="_Toc24559"/>
      <w:r>
        <w:rPr>
          <w:rFonts w:hint="default" w:ascii="Times New Roman" w:hAnsi="Times New Roman" w:eastAsia="方正仿宋_GBK" w:cs="Times New Roman"/>
          <w:b/>
          <w:bCs/>
          <w:color w:val="auto"/>
          <w:kern w:val="0"/>
          <w:sz w:val="32"/>
          <w:szCs w:val="32"/>
          <w:lang w:val="en-US" w:eastAsia="zh-CN" w:bidi="ar-SA"/>
        </w:rPr>
        <w:t>1</w:t>
      </w:r>
      <w:r>
        <w:rPr>
          <w:rFonts w:hint="eastAsia" w:cs="Times New Roman"/>
          <w:color w:val="auto"/>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合理规划，持续优化区域医疗资源配置</w:t>
      </w:r>
      <w:bookmarkEnd w:id="80"/>
      <w:bookmarkEnd w:id="8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根据天宁区国土空间规划，至2035年规划，天宁区规划人口约84万人。十四五期间，天宁区将积极探索市区医疗发展一体化新模式,引导市级优质资源下沉基层,按照统筹规划、提升能级、辐射带动的原则，共绘市区医疗资源布局“一张蓝图”，推动全区医疗资源协同发展。全面推进资源配置优化工程，按照盘活存量、发展增量、优化质量的策略，完成区公共卫生服务中心建设、兰陵街道社区卫生服务中心装饰改造，加快推进红梅街道社区卫生服务中心改扩建、雕庄街道社区卫生服务中心异地新建、郑陆镇卫生院改扩建，谋划区公共卫生应急中心建设、兰陵、茶山和天宁街道社区卫生服务中心新院区建设等项目。建成郑陆、青龙、雕庄三个区域医疗中心，促进资源优化配置，提升区域医疗服务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规划天宁区基层医疗设施配套按照15分钟、10分钟、5分钟生活圈要求设置，十四五期间天宁区将建设完善与我区社会发展水平相适应的、与居民健康需求相匹配的、布局合理、功能完善、便捷高效的医疗服务体系，实现“基本医疗卫生服务人人享有，优质医疗卫生资源人人可及”的发展目标，使居民健康水平</w:t>
      </w:r>
      <w:r>
        <w:rPr>
          <w:rFonts w:hint="default" w:ascii="Times New Roman" w:hAnsi="Times New Roman" w:eastAsia="方正仿宋_GBK" w:cs="Times New Roman"/>
          <w:color w:val="auto"/>
          <w:spacing w:val="-11"/>
          <w:kern w:val="0"/>
          <w:sz w:val="32"/>
          <w:szCs w:val="32"/>
          <w:lang w:val="en-US" w:eastAsia="zh-CN" w:bidi="ar-SA"/>
        </w:rPr>
        <w:t>与卫生服务指标达到常州市先进水平，相关健康产业发展初见成效。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新设置医疗机构，优先选址于医疗卫生资源欠发达区域。大力发展健康养老产业，鼓励社会办医机构医养结合，允许现有政府办医疗机构开设老年病床、康复床位。各类门诊部作为医疗卫生资源的社会补充，原则上除已建、在建项目，引导新增机构在郑陆镇、天宁新城（天宁经济开发区）、凤凰新城、中吴大道周边区域选址，优先在新型居住社区周边设置。社区卫生服务机构的建筑环境要贯彻经济、适用、安全、美观的原则，建筑布局紧凑合理，优先设置在一楼临街位置。每个街道或5~10万常住人口设置一所社区卫生服务中心，共设社区卫生服务中心14处，乡镇卫生院2家（详见表2），建筑面积至少达5000㎡/处，服务半径约1000米（步行15分钟以内）；服务半径无法覆盖地区以基层社区为基本单元设置社区卫生服务站，服务人口0.5－1.5万人，规划建筑面积至少300㎡，服务半径300米（步行5－6分钟）。同时，新建社区卫生服务中心至少设置50张病床。对承担养老服务功能（日间照料的中心、爱心护理等）的社区卫生服务中心建筑面积原则上不少于8000㎡。</w:t>
      </w:r>
    </w:p>
    <w:p>
      <w:pPr>
        <w:keepNext w:val="0"/>
        <w:keepLines w:val="0"/>
        <w:pageBreakBefore w:val="0"/>
        <w:widowControl/>
        <w:kinsoku/>
        <w:wordWrap/>
        <w:overflowPunct/>
        <w:topLinePunct w:val="0"/>
        <w:bidi w:val="0"/>
        <w:spacing w:line="570" w:lineRule="exact"/>
        <w:ind w:firstLine="640" w:firstLineChars="200"/>
        <w:jc w:val="both"/>
        <w:textAlignment w:val="auto"/>
        <w:rPr>
          <w:rFonts w:hint="default" w:ascii="Times New Roman" w:hAnsi="Times New Roman" w:eastAsia="宋体" w:cs="Times New Roman"/>
          <w:b/>
          <w:bCs/>
          <w:color w:val="auto"/>
          <w:szCs w:val="21"/>
        </w:rPr>
      </w:pPr>
      <w:r>
        <w:rPr>
          <w:rFonts w:hint="default" w:ascii="Times New Roman" w:hAnsi="Times New Roman" w:eastAsia="方正仿宋_GBK" w:cs="Times New Roman"/>
          <w:color w:val="auto"/>
          <w:kern w:val="0"/>
          <w:sz w:val="32"/>
          <w:szCs w:val="32"/>
          <w:lang w:val="en-US" w:eastAsia="zh-CN" w:bidi="ar-SA"/>
        </w:rPr>
        <w:t>有序推进社区医院建设，在2025年以前至少有2家基层医疗卫生机构通过社区医院省级评审委员会的评审验收。镇卫生院、社区卫生服务中心整体实力和技术水平基本达到二级医院水平，促进基层医疗卫生机构全面协调、可持续发展，使院内管理规范化、信息化、科学化。</w:t>
      </w:r>
    </w:p>
    <w:p>
      <w:pPr>
        <w:keepNext w:val="0"/>
        <w:keepLines w:val="0"/>
        <w:pageBreakBefore w:val="0"/>
        <w:widowControl w:val="0"/>
        <w:kinsoku/>
        <w:wordWrap/>
        <w:overflowPunct/>
        <w:topLinePunct w:val="0"/>
        <w:autoSpaceDE/>
        <w:autoSpaceDN/>
        <w:bidi w:val="0"/>
        <w:adjustRightInd/>
        <w:snapToGrid/>
        <w:spacing w:before="157" w:beforeLines="50" w:after="157" w:afterLines="50" w:line="500" w:lineRule="exact"/>
        <w:jc w:val="center"/>
        <w:textAlignment w:val="auto"/>
        <w:rPr>
          <w:rFonts w:hint="default" w:ascii="Times New Roman" w:hAnsi="Times New Roman" w:eastAsia="方正仿宋_GBK" w:cs="Times New Roman"/>
          <w:b/>
          <w:bCs/>
          <w:color w:val="auto"/>
          <w:sz w:val="28"/>
          <w:szCs w:val="28"/>
        </w:rPr>
      </w:pPr>
      <w:r>
        <w:rPr>
          <w:rFonts w:hint="default" w:ascii="Times New Roman" w:hAnsi="Times New Roman" w:eastAsia="方正仿宋_GBK" w:cs="Times New Roman"/>
          <w:b/>
          <w:bCs/>
          <w:color w:val="auto"/>
          <w:sz w:val="28"/>
          <w:szCs w:val="28"/>
        </w:rPr>
        <w:t>表2 天宁区社区卫生服务中心及乡镇卫生院“十四五”规划</w:t>
      </w:r>
    </w:p>
    <w:tbl>
      <w:tblPr>
        <w:tblStyle w:val="1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267"/>
        <w:gridCol w:w="3394"/>
        <w:gridCol w:w="1433"/>
        <w:gridCol w:w="147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tblHeader/>
          <w:jc w:val="center"/>
        </w:trPr>
        <w:tc>
          <w:tcPr>
            <w:tcW w:w="1267"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街道（镇）</w:t>
            </w: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机构名称</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现状床位数</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规划床位数</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黑体_GBK" w:cs="Times New Roman"/>
                <w:b w:val="0"/>
                <w:bCs w:val="0"/>
                <w:color w:val="auto"/>
                <w:sz w:val="24"/>
                <w:szCs w:val="24"/>
              </w:rPr>
            </w:pPr>
            <w:r>
              <w:rPr>
                <w:rFonts w:hint="default" w:ascii="Times New Roman" w:hAnsi="Times New Roman" w:eastAsia="方正黑体_GBK" w:cs="Times New Roman"/>
                <w:b w:val="0"/>
                <w:bCs w:val="0"/>
                <w:color w:val="auto"/>
                <w:sz w:val="24"/>
                <w:szCs w:val="24"/>
              </w:rPr>
              <w:t>规划说明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267"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w:t>
            </w: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东青社区卫生服务中心</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规划配建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26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郑陆镇卫生院</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160</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原址改扩建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267"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郑陆镇焦溪卫生院</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60</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原址改扩建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267"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w:t>
            </w: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雕庄街道社区卫生服务中心</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异地新建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267"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青龙街道</w:t>
            </w: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青龙街道社区卫生服务中心</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70</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200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267"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新建社区卫生服务中心</w:t>
            </w:r>
            <w:r>
              <w:rPr>
                <w:rFonts w:hint="default" w:ascii="Times New Roman" w:hAnsi="Times New Roman" w:eastAsia="方正仿宋_GBK" w:cs="Times New Roman"/>
                <w:color w:val="auto"/>
                <w:sz w:val="24"/>
                <w:szCs w:val="24"/>
                <w:lang w:val="en-US" w:eastAsia="zh-CN"/>
              </w:rPr>
              <w:t>1</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规划配建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267"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rPr>
              <w:t>新建社区卫生服务中心</w:t>
            </w:r>
            <w:r>
              <w:rPr>
                <w:rFonts w:hint="default" w:ascii="Times New Roman" w:hAnsi="Times New Roman" w:eastAsia="方正仿宋_GBK" w:cs="Times New Roman"/>
                <w:color w:val="auto"/>
                <w:sz w:val="24"/>
                <w:szCs w:val="24"/>
                <w:lang w:val="en-US" w:eastAsia="zh-CN"/>
              </w:rPr>
              <w:t>2</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26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规划配建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267"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w:t>
            </w: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茶山街道社区卫生服务中心</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0</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异地扩建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267"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华润社区卫生服务中心</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规划配建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267"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w:t>
            </w: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红梅街道社区卫生服务中心</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80</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100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原址改扩建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267"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pacing w:val="-11"/>
                <w:sz w:val="24"/>
                <w:szCs w:val="24"/>
              </w:rPr>
              <w:t>红梅街道北环社区卫生服务中心</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0</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30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异地新建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267"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新建金百社区卫生服务中心</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规划配建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267"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w:t>
            </w: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天宁街道社区卫生服务中心</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0</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异地扩建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267" w:type="dxa"/>
            <w:vMerge w:val="restart"/>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w:t>
            </w: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兰陵街道社区卫生服务中心</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0</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50</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规划新建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267"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兰陵街道社区卫生服务分中心1</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现状保留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1267" w:type="dxa"/>
            <w:vMerge w:val="continue"/>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p>
        </w:tc>
        <w:tc>
          <w:tcPr>
            <w:tcW w:w="3394"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兰陵街道社区卫生服务分中心2</w:t>
            </w:r>
          </w:p>
        </w:tc>
        <w:tc>
          <w:tcPr>
            <w:tcW w:w="1433"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478"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w:t>
            </w:r>
          </w:p>
        </w:tc>
        <w:tc>
          <w:tcPr>
            <w:tcW w:w="1376" w:type="dxa"/>
            <w:shd w:val="clear" w:color="000000" w:fill="FFFFFF"/>
            <w:vAlign w:val="center"/>
          </w:tcPr>
          <w:p>
            <w:pPr>
              <w:keepNext w:val="0"/>
              <w:keepLines w:val="0"/>
              <w:pageBreakBefore w:val="0"/>
              <w:widowControl w:val="0"/>
              <w:kinsoku/>
              <w:wordWrap/>
              <w:overflowPunct/>
              <w:topLinePunct w:val="0"/>
              <w:autoSpaceDE/>
              <w:autoSpaceDN/>
              <w:bidi w:val="0"/>
              <w:adjustRightInd w:val="0"/>
              <w:snapToGrid/>
              <w:spacing w:line="300" w:lineRule="exact"/>
              <w:jc w:val="center"/>
              <w:textAlignment w:val="auto"/>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color w:val="auto"/>
                <w:sz w:val="24"/>
                <w:szCs w:val="24"/>
              </w:rPr>
              <w:t>现状保留</w:t>
            </w:r>
          </w:p>
        </w:tc>
      </w:tr>
    </w:tbl>
    <w:p>
      <w:pPr>
        <w:pStyle w:val="5"/>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bookmarkStart w:id="82" w:name="_Toc17891"/>
      <w:bookmarkStart w:id="83" w:name="_Toc68722404"/>
      <w:r>
        <w:rPr>
          <w:rFonts w:hint="default" w:ascii="Times New Roman" w:hAnsi="Times New Roman" w:eastAsia="方正仿宋_GBK" w:cs="Times New Roman"/>
          <w:b/>
          <w:bCs/>
          <w:color w:val="auto"/>
          <w:kern w:val="0"/>
          <w:sz w:val="32"/>
          <w:szCs w:val="32"/>
          <w:lang w:val="en-US" w:eastAsia="zh-CN" w:bidi="ar-SA"/>
        </w:rPr>
        <w:t>2</w:t>
      </w:r>
      <w:r>
        <w:rPr>
          <w:rFonts w:hint="eastAsia" w:cs="Times New Roman"/>
          <w:color w:val="auto"/>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整合资源，提高医疗机构综合竞争力</w:t>
      </w:r>
      <w:bookmarkEnd w:id="82"/>
      <w:bookmarkEnd w:id="8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根据区域发展需求和医疗卫生规划的要求，采取适当方式整合区域内医疗卫生资源，将功能重复的医疗机构进行整合与其他医疗机构形成资源互补。大力发展区域内优势医疗资源，形成特色专科，提高医疗机构的竞争力。加强基层特色品牌专科建设、打造</w:t>
      </w:r>
      <w:r>
        <w:rPr>
          <w:rFonts w:hint="default" w:ascii="Times New Roman" w:hAnsi="Times New Roman" w:eastAsia="方正仿宋_GBK" w:cs="Times New Roman"/>
          <w:b/>
          <w:bCs/>
          <w:color w:val="auto"/>
          <w:kern w:val="0"/>
          <w:sz w:val="32"/>
          <w:szCs w:val="32"/>
          <w:lang w:val="en-US" w:eastAsia="zh-CN" w:bidi="ar-SA"/>
        </w:rPr>
        <w:t>“九大中心”</w:t>
      </w:r>
      <w:r>
        <w:rPr>
          <w:rFonts w:hint="default" w:ascii="Times New Roman" w:hAnsi="Times New Roman" w:eastAsia="方正仿宋_GBK" w:cs="Times New Roman"/>
          <w:color w:val="auto"/>
          <w:kern w:val="0"/>
          <w:sz w:val="32"/>
          <w:szCs w:val="32"/>
          <w:lang w:val="en-US" w:eastAsia="zh-CN" w:bidi="ar-SA"/>
        </w:rPr>
        <w:t>特色专科基层品牌、积极打造</w:t>
      </w:r>
      <w:r>
        <w:rPr>
          <w:rFonts w:hint="default" w:ascii="Times New Roman" w:hAnsi="Times New Roman" w:eastAsia="方正仿宋_GBK" w:cs="Times New Roman"/>
          <w:b/>
          <w:bCs/>
          <w:color w:val="auto"/>
          <w:kern w:val="0"/>
          <w:sz w:val="32"/>
          <w:szCs w:val="32"/>
          <w:lang w:val="en-US" w:eastAsia="zh-CN" w:bidi="ar-SA"/>
        </w:rPr>
        <w:t>“一中心一特色一品牌”</w:t>
      </w:r>
      <w:r>
        <w:rPr>
          <w:rFonts w:hint="default" w:ascii="Times New Roman" w:hAnsi="Times New Roman" w:eastAsia="方正仿宋_GBK" w:cs="Times New Roman"/>
          <w:color w:val="auto"/>
          <w:kern w:val="0"/>
          <w:sz w:val="32"/>
          <w:szCs w:val="32"/>
          <w:lang w:val="en-US" w:eastAsia="zh-CN" w:bidi="ar-SA"/>
        </w:rPr>
        <w:t>，逐步形成专科为核心、多种专科共同发展的</w:t>
      </w:r>
      <w:r>
        <w:rPr>
          <w:rFonts w:hint="default" w:ascii="Times New Roman" w:hAnsi="Times New Roman" w:eastAsia="方正仿宋_GBK" w:cs="Times New Roman"/>
          <w:b/>
          <w:bCs/>
          <w:color w:val="auto"/>
          <w:kern w:val="0"/>
          <w:sz w:val="32"/>
          <w:szCs w:val="32"/>
          <w:lang w:val="en-US" w:eastAsia="zh-CN" w:bidi="ar-SA"/>
        </w:rPr>
        <w:t>“一核多元”</w:t>
      </w:r>
      <w:r>
        <w:rPr>
          <w:rFonts w:hint="default" w:ascii="Times New Roman" w:hAnsi="Times New Roman" w:eastAsia="方正仿宋_GBK" w:cs="Times New Roman"/>
          <w:color w:val="auto"/>
          <w:kern w:val="0"/>
          <w:sz w:val="32"/>
          <w:szCs w:val="32"/>
          <w:lang w:val="en-US" w:eastAsia="zh-CN" w:bidi="ar-SA"/>
        </w:rPr>
        <w:t>的“专科群”品牌。其中，将于十四五期间打造郑陆镇卫生院的“天宁区区域医疗中心”；打造焦溪卫生院的“区域内科联合诊疗中心”；打造红梅中心的“天宁区口腔疾病防治中心”；打造茶山中心的“天宁区中医药康健中心”；打造青龙中心的“天宁区妇儿康疗中心”；打造天宁中心的“天宁区治未病健康管理中心”；打造兰陵中心的“天宁区智能化居家康养中心”；打造雕庄中心的“天宁区康复中心”；打造北环中心的“居家医疗照护服务中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强化与三级医院的协同合作，发展适宜基层的医疗科学技术，重点解决常见病、多发病诊疗和重大疾病转诊会诊的瓶颈问题；基层医疗机构、二级医院科室与三级医院错位发展，促进强弱平衡，加强特色专科建设，提升发展理念方向。重点加强“儿童、妇产、老年病、康复”等需求迫切的专科医疗机构建设。此外，合理配置中医药服务资源，促使中医药事业传承发展。</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bookmarkStart w:id="84" w:name="_Toc68722405"/>
      <w:bookmarkStart w:id="85" w:name="_Toc15502"/>
      <w:r>
        <w:rPr>
          <w:rFonts w:hint="default" w:ascii="Times New Roman" w:hAnsi="Times New Roman" w:eastAsia="方正仿宋_GBK" w:cs="Times New Roman"/>
          <w:b/>
          <w:bCs/>
          <w:color w:val="auto"/>
          <w:kern w:val="0"/>
          <w:sz w:val="32"/>
          <w:szCs w:val="32"/>
          <w:lang w:val="en-US" w:eastAsia="zh-CN" w:bidi="ar-SA"/>
        </w:rPr>
        <w:t>3</w:t>
      </w:r>
      <w:r>
        <w:rPr>
          <w:rFonts w:hint="eastAsia" w:cs="Times New Roman"/>
          <w:color w:val="auto"/>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调整规模，引导社会办医规范发展</w:t>
      </w:r>
      <w:bookmarkEnd w:id="84"/>
      <w:bookmarkEnd w:id="8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统筹利用医疗卫生资源，鼓励社会资本举办社区卫生服务机构，形成投资主体多元化、投资方式多样化的办医体制，满足居民基本医疗和公共卫生服务需求。推动社会办医疗机构依托移动互联网+智慧医疗等方式进行流程优化，诊疗规范、不断适应新形势下各类社会群体的就医新需求，逐步建立方便快捷的就医流程，营造高效舒适温馨的就医环境，为有需要的患者提供家庭病房等个性化服务。鼓励社会办医疗机构积极探索诊疗、护理、康复、心理关怀等连续整合、有序规范的服务，进一步提升就医体验，多方位满足群众身心健康需要。</w:t>
      </w:r>
    </w:p>
    <w:p>
      <w:pPr>
        <w:pStyle w:val="4"/>
        <w:keepNext w:val="0"/>
        <w:keepLines w:val="0"/>
        <w:pageBreakBefore w:val="0"/>
        <w:widowControl w:val="0"/>
        <w:kinsoku/>
        <w:wordWrap/>
        <w:overflowPunct/>
        <w:topLinePunct w:val="0"/>
        <w:autoSpaceDE/>
        <w:autoSpaceDN/>
        <w:bidi w:val="0"/>
        <w:adjustRightInd/>
        <w:spacing w:beforeAutospacing="0" w:afterAutospacing="0" w:line="570" w:lineRule="exact"/>
        <w:ind w:left="0" w:firstLine="640" w:firstLineChars="200"/>
        <w:jc w:val="both"/>
        <w:textAlignment w:val="auto"/>
        <w:rPr>
          <w:rFonts w:hint="default" w:ascii="Times New Roman" w:hAnsi="Times New Roman" w:eastAsia="方正楷体_GBK" w:cs="Times New Roman"/>
          <w:b w:val="0"/>
          <w:bCs w:val="0"/>
          <w:color w:val="auto"/>
          <w:kern w:val="0"/>
          <w:sz w:val="32"/>
          <w:szCs w:val="32"/>
          <w:lang w:val="en-US" w:eastAsia="zh-CN" w:bidi="ar-SA"/>
        </w:rPr>
      </w:pPr>
      <w:bookmarkStart w:id="86" w:name="_Toc18468"/>
      <w:bookmarkStart w:id="87" w:name="_Toc68722406"/>
      <w:r>
        <w:rPr>
          <w:rFonts w:hint="default" w:ascii="Times New Roman" w:hAnsi="Times New Roman" w:eastAsia="方正楷体_GBK" w:cs="Times New Roman"/>
          <w:b w:val="0"/>
          <w:bCs w:val="0"/>
          <w:color w:val="auto"/>
          <w:kern w:val="0"/>
          <w:sz w:val="32"/>
          <w:szCs w:val="32"/>
          <w:lang w:val="en-US" w:eastAsia="zh-CN" w:bidi="ar-SA"/>
        </w:rPr>
        <w:t>（二）完善卫生健康服务体系</w:t>
      </w:r>
      <w:bookmarkEnd w:id="86"/>
      <w:bookmarkEnd w:id="87"/>
      <w:bookmarkStart w:id="88" w:name="_Toc36515562"/>
    </w:p>
    <w:p>
      <w:pPr>
        <w:pStyle w:val="5"/>
        <w:keepNext w:val="0"/>
        <w:keepLines w:val="0"/>
        <w:pageBreakBefore w:val="0"/>
        <w:widowControl w:val="0"/>
        <w:kinsoku/>
        <w:wordWrap/>
        <w:overflowPunct/>
        <w:topLinePunct w:val="0"/>
        <w:autoSpaceDE/>
        <w:autoSpaceDN/>
        <w:bidi w:val="0"/>
        <w:adjustRightInd/>
        <w:spacing w:beforeAutospacing="0" w:afterAutospacing="0" w:line="570" w:lineRule="exact"/>
        <w:ind w:left="0"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bookmarkStart w:id="89" w:name="_Toc23312"/>
      <w:bookmarkStart w:id="90" w:name="_Toc68722407"/>
      <w:r>
        <w:rPr>
          <w:rFonts w:hint="default" w:ascii="Times New Roman" w:hAnsi="Times New Roman" w:eastAsia="方正仿宋_GBK" w:cs="Times New Roman"/>
          <w:b/>
          <w:bCs/>
          <w:color w:val="auto"/>
          <w:kern w:val="0"/>
          <w:sz w:val="32"/>
          <w:szCs w:val="32"/>
          <w:lang w:val="en-US" w:eastAsia="zh-CN" w:bidi="ar-SA"/>
        </w:rPr>
        <w:t>1</w:t>
      </w:r>
      <w:r>
        <w:rPr>
          <w:rFonts w:hint="eastAsia" w:cs="Times New Roman"/>
          <w:color w:val="auto"/>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完善分级诊疗制度</w:t>
      </w:r>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十四五期间是天宁区深化医改的重要突破期，因此完善与实现分级诊疗制度，关键在于进一步明确医联体内各医疗机构的职能和服务范围，探索建立分级诊疗的标准和实施细则，深化推动双向转诊。十四五期间，将分阶段分步骤实施各项举措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——持续提升基层医疗机构的服务能力和运行效益，依托CDSS（临床决策支持系统），建立多专病分级管理体系。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——进一步强化和规范基层医疗卫生机构健康管理、预防保健、基本医疗、康复护理、转诊服务和计划生育技术指导等基本功能，着力提升落实基本公共卫生服务项目和开展社区健康管理等方面的能力和水平。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创新基层机构运行机制，深化绩效工资制度改革，建立以服务质量和服务数量为核心、以岗位责任与绩效为基础的考核激励机制，向签约服务的医务人员倾斜。巩固完善家庭责任医生签约服务制度，推行网格化管理、团队式服务，形成主动、连续、综合、有效的服务机制，真正建立起居民健康“守门人”制度，筑牢基层健康服务“网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——发展医疗服务联合体、区域协作体等途径，建立基层医疗机构与上级医院双向转诊制度，逐步建立和完善社区首诊、双向转诊、急慢分治、上下联动的分级诊疗制度和医疗服务新模式。</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bookmarkStart w:id="91" w:name="_Toc13302"/>
      <w:bookmarkStart w:id="92" w:name="_Toc68722408"/>
      <w:r>
        <w:rPr>
          <w:rFonts w:hint="default" w:ascii="Times New Roman" w:hAnsi="Times New Roman" w:eastAsia="方正仿宋_GBK" w:cs="Times New Roman"/>
          <w:b/>
          <w:bCs/>
          <w:color w:val="auto"/>
          <w:kern w:val="0"/>
          <w:sz w:val="32"/>
          <w:szCs w:val="32"/>
          <w:lang w:val="en-US" w:eastAsia="zh-CN" w:bidi="ar-SA"/>
        </w:rPr>
        <w:t>2</w:t>
      </w:r>
      <w:r>
        <w:rPr>
          <w:rFonts w:hint="eastAsia" w:cs="Times New Roman"/>
          <w:color w:val="auto"/>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强化医联体核心竞争力</w:t>
      </w:r>
      <w:bookmarkEnd w:id="91"/>
      <w:bookmarkEnd w:id="92"/>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十四五期间，天宁区将建立健全医联体管理</w:t>
      </w:r>
      <w:r>
        <w:rPr>
          <w:rFonts w:hint="default" w:ascii="Times New Roman" w:hAnsi="Times New Roman" w:eastAsia="方正仿宋_GBK" w:cs="Times New Roman"/>
          <w:b/>
          <w:bCs/>
          <w:color w:val="auto"/>
          <w:kern w:val="0"/>
          <w:sz w:val="32"/>
          <w:szCs w:val="32"/>
          <w:lang w:val="en-US" w:eastAsia="zh-CN" w:bidi="ar-SA"/>
        </w:rPr>
        <w:t>“三项机制”</w:t>
      </w:r>
      <w:r>
        <w:rPr>
          <w:rFonts w:hint="default" w:ascii="Times New Roman" w:hAnsi="Times New Roman" w:eastAsia="方正仿宋_GBK" w:cs="Times New Roman"/>
          <w:color w:val="auto"/>
          <w:kern w:val="0"/>
          <w:sz w:val="32"/>
          <w:szCs w:val="32"/>
          <w:lang w:val="en-US" w:eastAsia="zh-CN" w:bidi="ar-SA"/>
        </w:rPr>
        <w:t>，加强紧密型医联体内的</w:t>
      </w:r>
      <w:r>
        <w:rPr>
          <w:rFonts w:hint="default" w:ascii="Times New Roman" w:hAnsi="Times New Roman" w:eastAsia="方正仿宋_GBK" w:cs="Times New Roman"/>
          <w:b/>
          <w:bCs/>
          <w:color w:val="auto"/>
          <w:kern w:val="0"/>
          <w:sz w:val="32"/>
          <w:szCs w:val="32"/>
          <w:lang w:val="en-US" w:eastAsia="zh-CN" w:bidi="ar-SA"/>
        </w:rPr>
        <w:t>“凝智工程”</w:t>
      </w:r>
      <w:r>
        <w:rPr>
          <w:rFonts w:hint="default" w:ascii="Times New Roman" w:hAnsi="Times New Roman" w:eastAsia="方正仿宋_GBK" w:cs="Times New Roman"/>
          <w:color w:val="auto"/>
          <w:kern w:val="0"/>
          <w:sz w:val="32"/>
          <w:szCs w:val="32"/>
          <w:lang w:val="en-US" w:eastAsia="zh-CN" w:bidi="ar-SA"/>
        </w:rPr>
        <w:t>建设，以提升核心竞争力。</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——建立健全医联体管理</w:t>
      </w:r>
      <w:r>
        <w:rPr>
          <w:rFonts w:hint="default" w:ascii="Times New Roman" w:hAnsi="Times New Roman" w:eastAsia="方正仿宋_GBK" w:cs="Times New Roman"/>
          <w:b/>
          <w:bCs/>
          <w:color w:val="auto"/>
          <w:kern w:val="0"/>
          <w:sz w:val="32"/>
          <w:szCs w:val="32"/>
          <w:lang w:val="en-US" w:eastAsia="zh-CN" w:bidi="ar-SA"/>
        </w:rPr>
        <w:t>“三项机制”</w:t>
      </w:r>
      <w:r>
        <w:rPr>
          <w:rFonts w:hint="default" w:ascii="Times New Roman" w:hAnsi="Times New Roman" w:eastAsia="方正仿宋_GBK" w:cs="Times New Roman"/>
          <w:color w:val="auto"/>
          <w:kern w:val="0"/>
          <w:sz w:val="32"/>
          <w:szCs w:val="32"/>
          <w:lang w:val="en-US" w:eastAsia="zh-CN" w:bidi="ar-SA"/>
        </w:rPr>
        <w:t>：一实行个性化错位发展机制。加强共建专科医联体建设，根据各医疗机构服务地区和人群的差异，尝试网格化布局、错位发展、突出个性化特色，打造一批具有影响力的特色专科。二是构建利益责任联合体机制。紧扣“共建、共享、共赢、共同发展”的发展理念，充分利用好上级医院专家优质资源，培养基层医疗机构自身的技术骨干，建立基层医疗机构真正的特色科室，提升核心竞争力。充分借助上级医院平台优势，将基层医疗机构重点岗位（医务科、护理部、院感科、协调办等）负责人分批次派驻至上级医院相应岗位进行定期培训学习，并由上级医院对受训人员实施考核，全面提升各基层医疗机构中层的管理能力和管理水平。每年选派一批10</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20人次，到2025年完成第一轮岗位培训100%覆盖。定期组织一线临床医护人员，参加上级医院的短期培训和定期考核，进一步加强医护人员医疗水平和服务能力。每年至少组织20人次，到2025年完成不少于100人次的培训考核，考核合格率达95%以上。以利益共享、责任共担为发展共识，实现医联体合作双方和患者多赢的良好局面。三是推动管理服务一体化机制。根据医疗机构的功能定位和服务能力差异，整体规划特色专科的发展方向。在医联体内探索制定通用的医疗服务和管理规范，建立医疗卫生人才的统一培养、管理和绩效评价制度。集约化、系统化的统筹各医疗机构的医用设备配置。</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——实施智慧医疗的</w:t>
      </w:r>
      <w:r>
        <w:rPr>
          <w:rFonts w:hint="default" w:ascii="Times New Roman" w:hAnsi="Times New Roman" w:eastAsia="方正仿宋_GBK" w:cs="Times New Roman"/>
          <w:b/>
          <w:bCs/>
          <w:color w:val="auto"/>
          <w:kern w:val="0"/>
          <w:sz w:val="32"/>
          <w:szCs w:val="32"/>
          <w:lang w:val="en-US" w:eastAsia="zh-CN" w:bidi="ar-SA"/>
        </w:rPr>
        <w:t>“凝智工程”</w:t>
      </w:r>
      <w:r>
        <w:rPr>
          <w:rFonts w:hint="default" w:ascii="Times New Roman" w:hAnsi="Times New Roman" w:eastAsia="方正仿宋_GBK" w:cs="Times New Roman"/>
          <w:color w:val="auto"/>
          <w:kern w:val="0"/>
          <w:sz w:val="32"/>
          <w:szCs w:val="32"/>
          <w:lang w:val="en-US" w:eastAsia="zh-CN" w:bidi="ar-SA"/>
        </w:rPr>
        <w:t>。重点完善区域检验中心、影像中心、消毒供应中心、病理检验中心、心电诊断中心“五大中心”运行，进一步集约化，提升基层医疗卫生机构运营效率、保障诊疗质量、降低运营成本。2023年消毒供应中心100%覆盖，实现良性运作。积极推进分级诊疗，充分发挥医联体理事会作用，制定分级诊疗目录及双向转诊实施细则，十四五初期收治住院病种不低于10种，至少能够识别和初步诊治70种常见病、多发病。到2023年收治住院病种不低于12种，至少能够识别和初步诊治100种常见病、多发病。到2025年收治住院病种不低于15种，至少能够识别和初步诊治150种常见病、多发病。以基层医疗机构HIS系统、基本公卫系统、家庭医生签约服务系统为重点，提升基层医疗卫生机构业务信息化水平。加强基本公卫数据和医疗业务数据的相互应用和支撑，促进基层医疗机构为辖区居民提供的基本公共卫生服务更加精准有效，提升以分级诊疗为目标的医疗能力。充分发挥天宁区优质医疗资源集聚、公共服务配套健全的优势，确保区域型医联体覆盖区域内所有基层医疗卫生机构，通过搭建 “互联网+医疗健康”网络，实现自上而下、辐射市区乡村三级的医疗健康信息互联互通，有效支持医联体内的预约诊疗、双向转诊、远程医疗、慢病管理等业务协同运行。</w:t>
      </w:r>
    </w:p>
    <w:p>
      <w:pPr>
        <w:pStyle w:val="5"/>
        <w:keepNext w:val="0"/>
        <w:keepLines w:val="0"/>
        <w:pageBreakBefore w:val="0"/>
        <w:widowControl w:val="0"/>
        <w:kinsoku/>
        <w:wordWrap/>
        <w:overflowPunct/>
        <w:topLinePunct w:val="0"/>
        <w:autoSpaceDE/>
        <w:autoSpaceDN/>
        <w:bidi w:val="0"/>
        <w:adjustRightInd/>
        <w:spacing w:beforeAutospacing="0" w:afterAutospacing="0" w:line="570" w:lineRule="exact"/>
        <w:ind w:left="0"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bookmarkStart w:id="93" w:name="_Toc7222"/>
      <w:bookmarkStart w:id="94" w:name="_Toc68722409"/>
      <w:r>
        <w:rPr>
          <w:rFonts w:hint="default" w:ascii="Times New Roman" w:hAnsi="Times New Roman" w:eastAsia="方正仿宋_GBK" w:cs="Times New Roman"/>
          <w:b/>
          <w:bCs/>
          <w:color w:val="auto"/>
          <w:kern w:val="0"/>
          <w:sz w:val="32"/>
          <w:szCs w:val="32"/>
          <w:lang w:val="en-US" w:eastAsia="zh-CN" w:bidi="ar-SA"/>
        </w:rPr>
        <w:t>3</w:t>
      </w:r>
      <w:r>
        <w:rPr>
          <w:rFonts w:hint="eastAsia" w:cs="Times New Roman"/>
          <w:color w:val="auto"/>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提升基层服务能力</w:t>
      </w:r>
      <w:bookmarkEnd w:id="93"/>
      <w:bookmarkEnd w:id="94"/>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十四五期间，天宁区将以提效创新为目标，实施三项工程为导向，全面提升基层医疗机构的卫生健康服务能力。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——实施家庭医生签约服务</w:t>
      </w:r>
      <w:r>
        <w:rPr>
          <w:rFonts w:hint="default" w:ascii="Times New Roman" w:hAnsi="Times New Roman" w:eastAsia="方正仿宋_GBK" w:cs="Times New Roman"/>
          <w:b/>
          <w:bCs/>
          <w:color w:val="auto"/>
          <w:kern w:val="0"/>
          <w:sz w:val="32"/>
          <w:szCs w:val="32"/>
          <w:lang w:val="en-US" w:eastAsia="zh-CN" w:bidi="ar-SA"/>
        </w:rPr>
        <w:t>“提效工程”</w:t>
      </w:r>
      <w:r>
        <w:rPr>
          <w:rFonts w:hint="default" w:ascii="Times New Roman" w:hAnsi="Times New Roman" w:eastAsia="方正仿宋_GBK" w:cs="Times New Roman"/>
          <w:color w:val="auto"/>
          <w:kern w:val="0"/>
          <w:sz w:val="32"/>
          <w:szCs w:val="32"/>
          <w:lang w:val="en-US" w:eastAsia="zh-CN" w:bidi="ar-SA"/>
        </w:rPr>
        <w:t>。以更新“健康天宁”新目标为契机，通过家医签约服务“提效工程”建设将有创新、有特色地专科（专病）适宜技术在基层深入推广应用, 到2025年，实现基层卫生服务网络健全率100%，基层医疗卫生机构基本建设达标率100%，基层医疗卫生机构门急诊人次占比提高到60%，区域内就诊率达到90%以上。完善基层卫生健康服务体系，坚持以健全服务网络、提升服务能力、完善体制机制、统筹城乡发展为重点，进一步改善基础服务条件，强化基本公共卫生健康服务职能，着力构建公平可及、服务高效、群众信赖的新型基层卫生健康服务体系，筑牢卫生健康服务网底</w:t>
      </w:r>
      <w:bookmarkStart w:id="95" w:name="_Hlk56674872"/>
      <w:r>
        <w:rPr>
          <w:rFonts w:hint="default" w:ascii="Times New Roman" w:hAnsi="Times New Roman" w:eastAsia="方正仿宋_GBK" w:cs="Times New Roman"/>
          <w:color w:val="auto"/>
          <w:kern w:val="0"/>
          <w:sz w:val="32"/>
          <w:szCs w:val="32"/>
          <w:lang w:val="en-US" w:eastAsia="zh-CN" w:bidi="ar-SA"/>
        </w:rPr>
        <w:t>。优化资源布局，到2025年，全区每千常住人口基层卫生人员数达到3.5人，基层医务人员数量每年上升不少于5%。康复、儿科等专科建设薄弱局面显著改善。</w:t>
      </w:r>
    </w:p>
    <w:bookmarkEnd w:id="95"/>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——实施专科人才</w:t>
      </w:r>
      <w:r>
        <w:rPr>
          <w:rFonts w:hint="default" w:ascii="Times New Roman" w:hAnsi="Times New Roman" w:eastAsia="方正仿宋_GBK" w:cs="Times New Roman"/>
          <w:b/>
          <w:bCs/>
          <w:color w:val="auto"/>
          <w:kern w:val="0"/>
          <w:sz w:val="32"/>
          <w:szCs w:val="32"/>
          <w:lang w:val="en-US" w:eastAsia="zh-CN" w:bidi="ar-SA"/>
        </w:rPr>
        <w:t>“汇智工程”</w:t>
      </w:r>
      <w:r>
        <w:rPr>
          <w:rFonts w:hint="default" w:ascii="Times New Roman" w:hAnsi="Times New Roman" w:eastAsia="方正仿宋_GBK" w:cs="Times New Roman"/>
          <w:color w:val="auto"/>
          <w:kern w:val="0"/>
          <w:sz w:val="32"/>
          <w:szCs w:val="32"/>
          <w:lang w:val="en-US" w:eastAsia="zh-CN" w:bidi="ar-SA"/>
        </w:rPr>
        <w:t>。基于医联体打造全区医疗卫生人力资源平台，构建涵盖医疗卫生人才全流程的人力资源管理体系。建立全区专科人才库，实现专科人才的统一管理、统一培训、统一考核的业务纵向管理模式。对具备条件的紧密型医联体，探索医联体内人员统筹使用，统一制订用人计划、统一岗位管理和统一考核奖惩等政策，建立能进能出、能上能下的用人机制。医联体牵头单位通过专科共建、临床带教、业务指导、教学查房和开设康复联合病房等方式，提高基层机构的管理和医疗业务水平。激发集聚效能，推动区域医联体内部各医疗机构的专家和人员定期轮岗、交流和培训，医联体内部的优势特色专科专家组成专科小组，定期开展科研和交流，发挥医联体集成效应，目标出人才、出成果、出效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——实施科研合作</w:t>
      </w:r>
      <w:r>
        <w:rPr>
          <w:rFonts w:hint="default" w:ascii="Times New Roman" w:hAnsi="Times New Roman" w:eastAsia="方正仿宋_GBK" w:cs="Times New Roman"/>
          <w:b/>
          <w:bCs/>
          <w:color w:val="auto"/>
          <w:kern w:val="0"/>
          <w:sz w:val="32"/>
          <w:szCs w:val="32"/>
          <w:lang w:val="en-US" w:eastAsia="zh-CN" w:bidi="ar-SA"/>
        </w:rPr>
        <w:t>“聚智工程”</w:t>
      </w:r>
      <w:r>
        <w:rPr>
          <w:rFonts w:hint="default" w:ascii="Times New Roman" w:hAnsi="Times New Roman" w:eastAsia="方正仿宋_GBK" w:cs="Times New Roman"/>
          <w:b w:val="0"/>
          <w:bCs w:val="0"/>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充分发挥医联体共建医院的科研优势、院士工作室的高新技术优势、名医“师带徒”的传统医术优势，搭建学术交流、课题攻关、技术创新等医疗合作平台，形成上下贯通、合作共赢的基层“科研中心”。建立健全医联体内部的知识共享系统，为医务人员提供临床诊疗培训和知识更新，争取上级医疗机构在基层医疗卫生机构推广适宜新技术，有效提升基层学术科研氛围，建成我区医疗技术创新的“试验田”。以此为基层医疗机构搭建科研育才基地，为推进医疗专家骨干扎根基层、引进高端学科带头人营造良好的环境。</w:t>
      </w:r>
      <w:bookmarkStart w:id="96" w:name="_Toc68722410"/>
      <w:bookmarkStart w:id="97" w:name="_Hlk56675460"/>
      <w:bookmarkStart w:id="98" w:name="_Toc36515564"/>
    </w:p>
    <w:p>
      <w:pPr>
        <w:pStyle w:val="5"/>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bookmarkStart w:id="99" w:name="_Toc21193"/>
      <w:r>
        <w:rPr>
          <w:rFonts w:hint="default" w:ascii="Times New Roman" w:hAnsi="Times New Roman" w:eastAsia="方正仿宋_GBK" w:cs="Times New Roman"/>
          <w:b/>
          <w:bCs/>
          <w:color w:val="auto"/>
          <w:kern w:val="0"/>
          <w:sz w:val="32"/>
          <w:szCs w:val="32"/>
          <w:lang w:val="en-US" w:eastAsia="zh-CN" w:bidi="ar-SA"/>
        </w:rPr>
        <w:t>4</w:t>
      </w:r>
      <w:r>
        <w:rPr>
          <w:rFonts w:hint="eastAsia" w:cs="Times New Roman"/>
          <w:color w:val="auto"/>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持续改善医疗服务</w:t>
      </w:r>
      <w:bookmarkEnd w:id="96"/>
      <w:bookmarkEnd w:id="9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强化医疗服务意识，合理配置服务资源，优化诊疗流程，改善护理服务模式，加强医疗服务监管，提升医疗服务效率，突出</w:t>
      </w:r>
      <w:bookmarkEnd w:id="97"/>
      <w:bookmarkEnd w:id="98"/>
      <w:r>
        <w:rPr>
          <w:rFonts w:hint="default" w:ascii="Times New Roman" w:hAnsi="Times New Roman" w:eastAsia="方正仿宋_GBK" w:cs="Times New Roman"/>
          <w:color w:val="auto"/>
          <w:kern w:val="0"/>
          <w:sz w:val="32"/>
          <w:szCs w:val="32"/>
          <w:highlight w:val="none"/>
          <w:lang w:val="en-US" w:eastAsia="zh-CN" w:bidi="ar-SA"/>
        </w:rPr>
        <w:t>医学人文教育，提升患者就医体验。构建和谐医患关系。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持续加强医德医风建设，积极推进院务政务公开和服务承诺制度，不断提高医务人员职业素质和职业责任。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加强平安医院建设，打击涉医违法犯罪。畅通医患渠道，加强诚信建设，建立相互信任、相互尊重、平等合作的医患关系。以改善服务态度、优化就医流程、落实医疗安全措施为重点，全面加强医院安全生产管理，加强宣传教育，查找薄弱环节。</w:t>
      </w:r>
    </w:p>
    <w:p>
      <w:pPr>
        <w:pStyle w:val="4"/>
        <w:keepNext w:val="0"/>
        <w:keepLines w:val="0"/>
        <w:pageBreakBefore w:val="0"/>
        <w:widowControl w:val="0"/>
        <w:kinsoku/>
        <w:wordWrap/>
        <w:overflowPunct/>
        <w:topLinePunct w:val="0"/>
        <w:autoSpaceDE/>
        <w:autoSpaceDN/>
        <w:bidi w:val="0"/>
        <w:adjustRightInd/>
        <w:spacing w:beforeAutospacing="0" w:afterAutospacing="0" w:line="570" w:lineRule="exact"/>
        <w:ind w:left="0" w:firstLine="640" w:firstLineChars="200"/>
        <w:jc w:val="both"/>
        <w:textAlignment w:val="auto"/>
        <w:rPr>
          <w:rFonts w:hint="default" w:ascii="Times New Roman" w:hAnsi="Times New Roman" w:eastAsia="方正楷体_GBK" w:cs="Times New Roman"/>
          <w:b w:val="0"/>
          <w:bCs w:val="0"/>
          <w:color w:val="auto"/>
          <w:kern w:val="0"/>
          <w:sz w:val="32"/>
          <w:szCs w:val="32"/>
          <w:lang w:val="en-US" w:eastAsia="zh-CN" w:bidi="ar-SA"/>
        </w:rPr>
      </w:pPr>
      <w:bookmarkStart w:id="100" w:name="_Toc18568"/>
      <w:bookmarkStart w:id="101" w:name="_Toc68722411"/>
      <w:r>
        <w:rPr>
          <w:rFonts w:hint="default" w:ascii="Times New Roman" w:hAnsi="Times New Roman" w:eastAsia="方正楷体_GBK" w:cs="Times New Roman"/>
          <w:b w:val="0"/>
          <w:bCs w:val="0"/>
          <w:color w:val="auto"/>
          <w:kern w:val="0"/>
          <w:sz w:val="32"/>
          <w:szCs w:val="32"/>
          <w:lang w:val="en-US" w:eastAsia="zh-CN" w:bidi="ar-SA"/>
        </w:rPr>
        <w:t>（三）构建现代化公共卫生体系</w:t>
      </w:r>
      <w:bookmarkEnd w:id="100"/>
      <w:bookmarkEnd w:id="101"/>
    </w:p>
    <w:p>
      <w:pPr>
        <w:pStyle w:val="12"/>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高起点、高标准、整体性重塑全区公共卫生体系，从而进一步健全完善公共卫生管理体系，进一步提升管理能力，进一步完善管理机制，推进公共卫生体系高质量发展。</w:t>
      </w:r>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02" w:name="_Toc68722412"/>
      <w:bookmarkStart w:id="103" w:name="_Toc9368"/>
      <w:r>
        <w:rPr>
          <w:rFonts w:hint="default" w:ascii="Times New Roman" w:hAnsi="Times New Roman" w:cs="Times New Roman"/>
          <w:color w:val="auto"/>
          <w:lang w:val="en-US" w:eastAsia="zh-CN"/>
        </w:rPr>
        <w:t>1</w:t>
      </w:r>
      <w:r>
        <w:rPr>
          <w:rFonts w:hint="eastAsia" w:cs="Times New Roman"/>
          <w:color w:val="auto"/>
          <w:lang w:val="en-US" w:eastAsia="zh-CN"/>
        </w:rPr>
        <w:t xml:space="preserve">. </w:t>
      </w:r>
      <w:r>
        <w:rPr>
          <w:rFonts w:hint="default" w:ascii="Times New Roman" w:hAnsi="Times New Roman" w:cs="Times New Roman"/>
          <w:color w:val="auto"/>
          <w:lang w:val="en-US" w:eastAsia="zh-CN"/>
        </w:rPr>
        <w:t>开展健康生活方式管理</w:t>
      </w:r>
      <w:bookmarkEnd w:id="102"/>
      <w:bookmarkEnd w:id="103"/>
    </w:p>
    <w:p>
      <w:pPr>
        <w:pStyle w:val="12"/>
        <w:keepNext w:val="0"/>
        <w:keepLines w:val="0"/>
        <w:pageBreakBefore w:val="0"/>
        <w:widowControl w:val="0"/>
        <w:shd w:val="clear" w:color="auto" w:fill="FFFFFF"/>
        <w:kinsoku/>
        <w:wordWrap/>
        <w:overflowPunct/>
        <w:topLinePunct w:val="0"/>
        <w:autoSpaceDE/>
        <w:autoSpaceDN/>
        <w:bidi w:val="0"/>
        <w:adjustRightIn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探索适应全人群、全方位和全周期健康服务的政策体系，持续巩固国家级健康促进区建设成果，深入开展爱国卫生相关主题活动，加强对居民的宣传教育，倡导健康的生活方式，提高居民健康素养，推进医防结合工作开展。使我区居民的健康素养水平持续保持在全省前列。持续开展健康细胞建设并实施长效管理，开展省级健康村（社区）和健康单位创建活动，省级健康村（社区）的覆盖率持续上升，始终位列全省第一方阵。建立健全健康知识和技能信息发布制度，构建数字化健康传播平台。广泛开展全民健身运动，推动全民健身和全民健康深度融合。针对青少年、老年人、孕产妇、婴幼儿等重点人群进行健康管理。加强慢性病的病因学预防，对高危人群进行干预指导，有针对性地控制主要健康危险因素。加强精神卫生防治，完善心理卫生服务体系。</w:t>
      </w:r>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04" w:name="_Toc31603"/>
      <w:bookmarkStart w:id="105" w:name="_Toc68722413"/>
      <w:r>
        <w:rPr>
          <w:rFonts w:hint="default" w:ascii="Times New Roman" w:hAnsi="Times New Roman" w:cs="Times New Roman"/>
          <w:color w:val="auto"/>
          <w:lang w:val="en-US" w:eastAsia="zh-CN"/>
        </w:rPr>
        <w:t>2</w:t>
      </w:r>
      <w:r>
        <w:rPr>
          <w:rFonts w:hint="eastAsia" w:cs="Times New Roman"/>
          <w:color w:val="auto"/>
          <w:lang w:val="en-US" w:eastAsia="zh-CN"/>
        </w:rPr>
        <w:t xml:space="preserve">. </w:t>
      </w:r>
      <w:r>
        <w:rPr>
          <w:rFonts w:hint="default" w:ascii="Times New Roman" w:hAnsi="Times New Roman" w:cs="Times New Roman"/>
          <w:color w:val="auto"/>
          <w:lang w:val="en-US" w:eastAsia="zh-CN"/>
        </w:rPr>
        <w:t>持续推进国家基本公共卫生项目</w:t>
      </w:r>
      <w:bookmarkEnd w:id="104"/>
      <w:bookmarkEnd w:id="105"/>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继续执行国家基本公共卫生服务项目，稳步提升项目补助水平，建立稳定的项目调整和更新机制。以国家基本公共卫生服务项目工作为切入点和突破口，努力为人民群众提供全方位、全生命周期、公平可及的基本公共卫生服务。围绕长远管控目标，结合签约服务工作开展，分人群制订“三位一体”综合管理服务方案，明确基层医疗卫生机构、专业公共卫生机构职责任务，组建以签约责任医生、公立医院专科医生为核心的服务组合，强化利益导向机制，持续推进三方人员在技术与业务上的深度合作，实现预防、诊治和管理的有机结合，切实增强城乡居民对基本公共卫生服务项目实施的受益率和感受度。到2025年，居民电子健康档案建档率达到85%以上，实现常住居民健康档案的基本覆盖。强化健康档案信息质量控制，发挥其作为全区医疗卫生信息互联应用的基础性作用，促进基本公共卫生服务水平不断提高，基本公共卫生服务均等化水平逐步提升。</w:t>
      </w:r>
    </w:p>
    <w:p>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ind w:firstLine="643" w:firstLineChars="200"/>
        <w:textAlignment w:val="baseline"/>
        <w:rPr>
          <w:rFonts w:hint="default" w:ascii="Times New Roman" w:hAnsi="Times New Roman" w:cs="Times New Roman"/>
          <w:color w:val="auto"/>
          <w:lang w:val="en-US" w:eastAsia="zh-CN"/>
        </w:rPr>
      </w:pPr>
      <w:bookmarkStart w:id="106" w:name="_Toc3310"/>
      <w:bookmarkStart w:id="107" w:name="_Toc68722414"/>
      <w:r>
        <w:rPr>
          <w:rFonts w:hint="eastAsia" w:cs="Times New Roman"/>
          <w:color w:val="auto"/>
          <w:lang w:val="en-US" w:eastAsia="zh-CN"/>
        </w:rPr>
        <w:t xml:space="preserve">3. </w:t>
      </w:r>
      <w:r>
        <w:rPr>
          <w:rFonts w:hint="default" w:ascii="Times New Roman" w:hAnsi="Times New Roman" w:cs="Times New Roman"/>
          <w:color w:val="auto"/>
          <w:lang w:val="en-US" w:eastAsia="zh-CN"/>
        </w:rPr>
        <w:t>加强新发、突发、重大传染病防治</w:t>
      </w:r>
      <w:bookmarkEnd w:id="106"/>
      <w:bookmarkEnd w:id="107"/>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加强新发、突发、重大传染病监测预警、预防控制能力建设，完善重大疫情防控体制机制。</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积极构建以城乡基层医疗机构为基础、专业公共卫生机构及综合医院协同服务的“三位一体”综合防控体系。以网格化医联体为单位，大力扶持城乡基层医疗机构传染病医疗救治能力建设，推进防、治、管融合发展，增强城乡基层医疗机构常见传染病预防控制和临床识别能力，使基层医疗机构真正成为传染病防控和医疗救治体系的网底和基础。</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扎实做好血吸虫病、艾滋病、结核病等重大传染病和水痘、流感、手足口病、诺如病毒等重点传染病预防控制。以婴幼儿和孕产妇为重点，加强乙肝防治，降低全人群乙肝病毒感染率。加强艾滋病检测、干预和随访，最大限度发现感染者和病人，同时做好职业防护和医院感染控制工作。全面加强儿童预防接种门诊标准化、规范化建设，</w:t>
      </w:r>
      <w:bookmarkStart w:id="108" w:name="_Hlk56675496"/>
      <w:r>
        <w:rPr>
          <w:rFonts w:hint="default" w:ascii="Times New Roman" w:hAnsi="Times New Roman" w:eastAsia="方正仿宋_GBK" w:cs="Times New Roman"/>
          <w:color w:val="auto"/>
          <w:kern w:val="0"/>
          <w:sz w:val="32"/>
          <w:szCs w:val="32"/>
          <w:lang w:val="en-US" w:eastAsia="zh-CN" w:bidi="ar-SA"/>
        </w:rPr>
        <w:t>以镇、街道为单位实施计划免疫疫苗接种覆盖率达95%以上。到2025年，传染病暴发疫情及散发疫情规范处置指标不低于0.9，传染病疫情调查率和监测完成率均达到100%。国家免疫规划疫苗脊灰、麻疹疫苗接种率达98%以上，其它疫苗接种率达95%以上，入托、入学儿童接种证查验率达100%，力争60岁以上老年人肺炎疫苗免费接种。</w:t>
      </w:r>
      <w:bookmarkEnd w:id="108"/>
      <w:r>
        <w:rPr>
          <w:rFonts w:hint="default" w:ascii="Times New Roman" w:hAnsi="Times New Roman" w:eastAsia="方正仿宋_GBK" w:cs="Times New Roman"/>
          <w:color w:val="auto"/>
          <w:kern w:val="0"/>
          <w:sz w:val="32"/>
          <w:szCs w:val="32"/>
          <w:lang w:val="en-US" w:eastAsia="zh-CN" w:bidi="ar-SA"/>
        </w:rPr>
        <w:t>持续加强水痘疫苗接种率。</w:t>
      </w:r>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09" w:name="_Toc20681"/>
      <w:bookmarkStart w:id="110" w:name="_Toc68722415"/>
      <w:r>
        <w:rPr>
          <w:rFonts w:hint="default" w:ascii="Times New Roman" w:hAnsi="Times New Roman" w:cs="Times New Roman"/>
          <w:color w:val="auto"/>
          <w:lang w:val="en-US" w:eastAsia="zh-CN"/>
        </w:rPr>
        <w:t>4</w:t>
      </w:r>
      <w:r>
        <w:rPr>
          <w:rFonts w:hint="eastAsia" w:cs="Times New Roman"/>
          <w:color w:val="auto"/>
          <w:lang w:val="en-US" w:eastAsia="zh-CN"/>
        </w:rPr>
        <w:t xml:space="preserve">. </w:t>
      </w:r>
      <w:r>
        <w:rPr>
          <w:rFonts w:hint="default" w:ascii="Times New Roman" w:hAnsi="Times New Roman" w:cs="Times New Roman"/>
          <w:color w:val="auto"/>
          <w:lang w:val="en-US" w:eastAsia="zh-CN"/>
        </w:rPr>
        <w:t>实施慢性病综合防控</w:t>
      </w:r>
      <w:bookmarkEnd w:id="109"/>
      <w:bookmarkEnd w:id="110"/>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加强恶性肿瘤、心脑血管、糖尿病等重大慢性非传染性疾病管理，建立完善慢性病（肿瘤）发病监测和网络直报工作机制。开展慢性病及其危险因素监测，加强全人群死因登记报告和肿瘤登记报告，强化慢性病筛查和早期发现，提高早诊早治率。推进以糖尿病、高血压精细化管理为抓手的重大慢性病管理项目，加强高血压、糖尿病等慢性病患者的管理和服务，完善对癌症等患者的随访和康复指导。在此基础上建立慢性病综合防控长效管理机制，巩固“国家级慢性病综合防控示范区”创建成果。</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完善慢性病防治服务网络，强化基层医疗卫生机构慢性病管理。面向重点人群，持续开展老年人和高血压、糖尿病、重性精神疾病等重点人群的社区健康管理，发挥专业医疗和公共卫生机构的指导作用，逐步增加各类人群管理人数，提升管理质量和效果。</w:t>
      </w:r>
      <w:bookmarkStart w:id="111" w:name="_Hlk56675507"/>
      <w:r>
        <w:rPr>
          <w:rFonts w:hint="default" w:ascii="Times New Roman" w:hAnsi="Times New Roman" w:eastAsia="方正仿宋_GBK" w:cs="Times New Roman"/>
          <w:color w:val="auto"/>
          <w:kern w:val="0"/>
          <w:sz w:val="32"/>
          <w:szCs w:val="32"/>
          <w:lang w:val="en-US" w:eastAsia="zh-CN" w:bidi="ar-SA"/>
        </w:rPr>
        <w:t>到2025年，老年人健康管理率和高血压、糖尿病规范管理率达到</w:t>
      </w:r>
      <w:bookmarkEnd w:id="111"/>
      <w:r>
        <w:rPr>
          <w:rFonts w:hint="default" w:ascii="Times New Roman" w:hAnsi="Times New Roman" w:eastAsia="方正仿宋_GBK" w:cs="Times New Roman"/>
          <w:color w:val="auto"/>
          <w:kern w:val="0"/>
          <w:sz w:val="32"/>
          <w:szCs w:val="32"/>
          <w:lang w:val="en-US" w:eastAsia="zh-CN" w:bidi="ar-SA"/>
        </w:rPr>
        <w:t>60%以上，管理人群血压、血糖控制率达40%以上。</w:t>
      </w:r>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12" w:name="_Toc68722416"/>
      <w:bookmarkStart w:id="113" w:name="_Toc11521"/>
      <w:r>
        <w:rPr>
          <w:rFonts w:hint="default" w:ascii="Times New Roman" w:hAnsi="Times New Roman" w:cs="Times New Roman"/>
          <w:color w:val="auto"/>
          <w:lang w:val="en-US" w:eastAsia="zh-CN"/>
        </w:rPr>
        <w:t>5</w:t>
      </w:r>
      <w:r>
        <w:rPr>
          <w:rFonts w:hint="eastAsia" w:cs="Times New Roman"/>
          <w:color w:val="auto"/>
          <w:lang w:val="en-US" w:eastAsia="zh-CN"/>
        </w:rPr>
        <w:t xml:space="preserve">. </w:t>
      </w:r>
      <w:r>
        <w:rPr>
          <w:rFonts w:hint="default" w:ascii="Times New Roman" w:hAnsi="Times New Roman" w:cs="Times New Roman"/>
          <w:color w:val="auto"/>
          <w:lang w:val="en-US" w:eastAsia="zh-CN"/>
        </w:rPr>
        <w:t>加强妇幼卫生保健和生育服务</w:t>
      </w:r>
      <w:bookmarkEnd w:id="112"/>
      <w:bookmarkEnd w:id="113"/>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提升妇幼卫生保健和生育服务能力，完善区妇幼保健计划生育服务中心、社区卫生服务机构之间的上下联动机制，实施妇幼保健分级诊疗新模式，发挥上级妇幼保健机构专业指导作用，强化对基层医疗卫生机构孕产妇和儿童保健工作的考核检查和业务指导。向孕产妇提供生育全过程的基本医疗保健服务，进一步提高孕产妇、新生儿危急重症救治能力，有效降低孕产妇死亡率和婴儿死亡率。加强高危孕产妇专案管理，预防艾滋病、梅毒、乙肝母婴传播，保障母婴安全。大力倡导婚检，加强实施孕前优生健康检查，落实出生缺陷三级预防措施，建立涵盖孕前、孕期、新生儿各阶段的出生缺陷防治服务制度，有效减少出生缺陷的发生。加大妇女儿童重大疾病防治力度，提高适龄妇女“两癌”等重大疾病的预防性监测，逐步扩大妇女“两癌”检查项目覆盖范围，提高宫颈癌和乳腺癌的早诊早治率，强化妇女重大疾病的防治效果。加强对儿童白血病、先心病等重大疾病的早期发现和医疗救治能力，强化妇幼保健服务体系建设，有效保护妇女、儿童健康。</w:t>
      </w:r>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14" w:name="_Toc12009"/>
      <w:bookmarkStart w:id="115" w:name="_Toc68722417"/>
      <w:r>
        <w:rPr>
          <w:rFonts w:hint="default" w:ascii="Times New Roman" w:hAnsi="Times New Roman" w:cs="Times New Roman"/>
          <w:color w:val="auto"/>
          <w:lang w:val="en-US" w:eastAsia="zh-CN"/>
        </w:rPr>
        <w:t>6</w:t>
      </w:r>
      <w:r>
        <w:rPr>
          <w:rFonts w:hint="eastAsia" w:cs="Times New Roman"/>
          <w:color w:val="auto"/>
          <w:lang w:val="en-US" w:eastAsia="zh-CN"/>
        </w:rPr>
        <w:t xml:space="preserve">. </w:t>
      </w:r>
      <w:r>
        <w:rPr>
          <w:rFonts w:hint="default" w:ascii="Times New Roman" w:hAnsi="Times New Roman" w:cs="Times New Roman"/>
          <w:color w:val="auto"/>
          <w:lang w:val="en-US" w:eastAsia="zh-CN"/>
        </w:rPr>
        <w:t>探索婴幼儿照护、托育服务新模式</w:t>
      </w:r>
      <w:bookmarkEnd w:id="114"/>
      <w:bookmarkEnd w:id="115"/>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十四五期间，天宁区将围绕普惠安全、托幼一体的托育服务要求，在全市3岁以下婴幼儿照护服务试点工作的基础上，实现全区普惠性托育服务全覆盖。</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率先试点与创新托育服务新模式。一方面，有条不紊贯彻实行国家要求托育机构备案登记制度，开展托育机构备案登记工作。一方面扩大普惠托育机构试点与创新建设，“十四五”期间在开发区、青龙、雕庄、兰陵、红梅街道规划建设6家普惠托育服务机构。增设区级普惠托育机构试点单位，扩大普惠托育服务受众面。第三，充分发挥行业协会职能，督促托育机构落实安全责任。在开展托育机构从业人员岗前培训和继续教育的同时，持续增强家庭为主照护服务指导，全面提升全区婴幼儿照护服务水平。第四，出台《天宁区促进3岁以下婴幼儿照护服务发展实施意见》为完善全市、全省“一老一小”服务体系、促进家庭发展提供试点方案与意见指南。</w:t>
      </w:r>
    </w:p>
    <w:p>
      <w:pPr>
        <w:pStyle w:val="5"/>
        <w:keepNext w:val="0"/>
        <w:keepLines w:val="0"/>
        <w:pageBreakBefore w:val="0"/>
        <w:wordWrap/>
        <w:overflowPunct/>
        <w:topLinePunct w:val="0"/>
        <w:bidi w:val="0"/>
        <w:rPr>
          <w:rFonts w:hint="default" w:ascii="Times New Roman" w:hAnsi="Times New Roman" w:cs="Times New Roman"/>
          <w:color w:val="auto"/>
        </w:rPr>
      </w:pPr>
      <w:bookmarkStart w:id="116" w:name="_Toc31666"/>
      <w:bookmarkStart w:id="117" w:name="_Toc68722418"/>
      <w:r>
        <w:rPr>
          <w:rFonts w:hint="default" w:ascii="Times New Roman" w:hAnsi="Times New Roman" w:cs="Times New Roman"/>
          <w:color w:val="auto"/>
        </w:rPr>
        <w:t>7</w:t>
      </w:r>
      <w:r>
        <w:rPr>
          <w:rFonts w:hint="eastAsia" w:cs="Times New Roman"/>
          <w:color w:val="auto"/>
          <w:lang w:val="en-US" w:eastAsia="zh-CN"/>
        </w:rPr>
        <w:t xml:space="preserve">. </w:t>
      </w:r>
      <w:r>
        <w:rPr>
          <w:rFonts w:hint="default" w:ascii="Times New Roman" w:hAnsi="Times New Roman" w:cs="Times New Roman"/>
          <w:color w:val="auto"/>
        </w:rPr>
        <w:t>实施打造生育友好型社会新举措</w:t>
      </w:r>
      <w:bookmarkEnd w:id="116"/>
      <w:bookmarkEnd w:id="117"/>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补短板，促升级、增后劲、惠民生，共建共赢生育友好型社会。十四五期间，天宁区将进一步加大计划生育家庭扶助力度，落实计划生育家庭奖励扶助、持证退休人员一次性奖励、市区公益金、独生子女父母奖励等计生利导政策，实现各项奖励扶助政策全覆盖；深入了解计生特殊家庭所需所想，再添新举措，以“三覆盖+三联合”为计生特殊家庭帮扶项目增添新内涵。发挥社会服务工作机构的专业作用，借助社会工作者专业化优势，规范计生家庭帮扶服务，提升帮扶效果，营造全社会关心、关爱计划生育困难家庭的良好氛围。</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为幸福家庭建设全面深化注入“新动力”。在家庭保健、科学育儿、青少年健康、养老照护等方面探索新方法、取得新实效，在提升家庭成员保健意识、自我保健能力与健康素养水平上下功夫，开展多种公益创投项目，不断提高健康管理、健康促进等方面的能力。作为省级“新家庭计划——家庭发展能力建设”试点项目，天宁区积极探索工作方法，总结工作经验，不断寻求新突破，努力建立一套标准化的服务体系，为“新家庭计划”项目在常州的全面深化奠定基础。</w:t>
      </w:r>
    </w:p>
    <w:p>
      <w:pPr>
        <w:pStyle w:val="5"/>
        <w:keepNext w:val="0"/>
        <w:keepLines w:val="0"/>
        <w:pageBreakBefore w:val="0"/>
        <w:wordWrap/>
        <w:overflowPunct/>
        <w:topLinePunct w:val="0"/>
        <w:bidi w:val="0"/>
        <w:rPr>
          <w:rFonts w:hint="default" w:ascii="Times New Roman" w:hAnsi="Times New Roman" w:cs="Times New Roman"/>
          <w:color w:val="auto"/>
        </w:rPr>
      </w:pPr>
      <w:bookmarkStart w:id="118" w:name="_Toc68722419"/>
      <w:bookmarkStart w:id="119" w:name="_Toc6983"/>
      <w:r>
        <w:rPr>
          <w:rFonts w:hint="default" w:ascii="Times New Roman" w:hAnsi="Times New Roman" w:cs="Times New Roman"/>
          <w:color w:val="auto"/>
        </w:rPr>
        <w:t>8</w:t>
      </w:r>
      <w:r>
        <w:rPr>
          <w:rFonts w:hint="eastAsia" w:cs="Times New Roman"/>
          <w:color w:val="auto"/>
          <w:lang w:val="en-US" w:eastAsia="zh-CN"/>
        </w:rPr>
        <w:t xml:space="preserve">. </w:t>
      </w:r>
      <w:r>
        <w:rPr>
          <w:rFonts w:hint="default" w:ascii="Times New Roman" w:hAnsi="Times New Roman" w:cs="Times New Roman"/>
          <w:color w:val="auto"/>
        </w:rPr>
        <w:t>完善公共卫生应急管理体系</w:t>
      </w:r>
      <w:bookmarkEnd w:id="118"/>
      <w:bookmarkEnd w:id="119"/>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按照预防为主、防治结合、平战结合的总体思路，提升应对重大突发公共卫生事件服务能力和服务水平，完善公共卫生应急管理体系。</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加强突发公共卫生事件尤其是突发急性传染病综合监测、快速检测、风险评估和及时预警能力建设，提升突发事件卫生应急监测预警水平、应对能力和指挥效力，实现“功能完善、布局合理、反应快捷、指令畅通”的应急网络。谋划天宁区公共卫生应急中心，集成天宁区疾病预防控制中心、妇幼保健计划生育服务中心、卫生监督所3家专业公共卫生机构资源。持续更新疾病预防控制中心实验室仪器设备，规范实验室检测项目，储备、维护、更新个人防护用品、消毒消杀药品等公共卫生应急物资，全面提高实验室技术服务能力。“十四五”期间，新增生物安全二级病原微生物实验室1个，提升病毒核酸检测能力，A类设备配备率100%。</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提高卫生应急准备和处置能力，建设完善区域卫生应急指挥中心，2025年建设成集监控、通信、信息、指挥和调度于一体，高度智能化的卫生应急指挥平台。加强卫生应急队伍建设，在传染、呼吸、重症、感染以及流行病学、检验检测等专科领域，培育一批高素质应急队伍。规范开展全区重大传染病、食物中毒、群体性不明原因疾病等疫情监测预警和突发公共卫生事件风险评估工作，以传染病突发疫情与中毒事件卫生应急处置为重点，做好应急准备、处置与医疗救援工作，突发公共卫生事件报告及时率、及时处置率达到100%。提高全民自救互救素养，提升常见突发公共卫生事件自我防范和自救互救能力。</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firstLine="640" w:firstLineChars="200"/>
        <w:jc w:val="both"/>
        <w:textAlignment w:val="auto"/>
        <w:rPr>
          <w:rFonts w:hint="default" w:ascii="Times New Roman" w:hAnsi="Times New Roman" w:eastAsia="方正楷体_GBK" w:cs="Times New Roman"/>
          <w:b w:val="0"/>
          <w:bCs w:val="0"/>
          <w:color w:val="auto"/>
          <w:kern w:val="0"/>
          <w:sz w:val="32"/>
          <w:szCs w:val="32"/>
          <w:lang w:val="en-US" w:eastAsia="zh-CN" w:bidi="ar-SA"/>
        </w:rPr>
      </w:pPr>
      <w:bookmarkStart w:id="120" w:name="_Toc29294"/>
      <w:bookmarkStart w:id="121" w:name="_Toc68722420"/>
      <w:r>
        <w:rPr>
          <w:rFonts w:hint="default" w:ascii="Times New Roman" w:hAnsi="Times New Roman" w:eastAsia="方正楷体_GBK" w:cs="Times New Roman"/>
          <w:b w:val="0"/>
          <w:bCs w:val="0"/>
          <w:color w:val="auto"/>
          <w:kern w:val="0"/>
          <w:sz w:val="32"/>
          <w:szCs w:val="32"/>
          <w:lang w:val="en-US" w:eastAsia="zh-CN" w:bidi="ar-SA"/>
        </w:rPr>
        <w:t>（四）健全老年健康服务体系</w:t>
      </w:r>
      <w:bookmarkEnd w:id="120"/>
      <w:bookmarkEnd w:id="121"/>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以体系建设规划、人才规划与储备、服务提供方式创新为主要内容，谋划养老和医养结合服务体系建设，不断深入推进养老与医疗相融合、事业与产业相融合、传统模式与新兴业态相融合“三项融合”健康养老模式。</w:t>
      </w:r>
    </w:p>
    <w:p>
      <w:pPr>
        <w:pStyle w:val="5"/>
        <w:keepNext w:val="0"/>
        <w:keepLines w:val="0"/>
        <w:pageBreakBefore w:val="0"/>
        <w:wordWrap/>
        <w:overflowPunct/>
        <w:topLinePunct w:val="0"/>
        <w:bidi w:val="0"/>
        <w:rPr>
          <w:rFonts w:hint="default" w:ascii="Times New Roman" w:hAnsi="Times New Roman" w:cs="Times New Roman"/>
          <w:color w:val="auto"/>
        </w:rPr>
      </w:pPr>
      <w:bookmarkStart w:id="122" w:name="_Toc13369"/>
      <w:bookmarkStart w:id="123" w:name="_Toc68722421"/>
      <w:r>
        <w:rPr>
          <w:rFonts w:hint="default" w:ascii="Times New Roman" w:hAnsi="Times New Roman" w:cs="Times New Roman"/>
          <w:color w:val="auto"/>
        </w:rPr>
        <w:t>1</w:t>
      </w:r>
      <w:r>
        <w:rPr>
          <w:rFonts w:hint="eastAsia" w:cs="Times New Roman"/>
          <w:color w:val="auto"/>
          <w:lang w:val="en-US" w:eastAsia="zh-CN"/>
        </w:rPr>
        <w:t xml:space="preserve">. </w:t>
      </w:r>
      <w:r>
        <w:rPr>
          <w:rFonts w:hint="default" w:ascii="Times New Roman" w:hAnsi="Times New Roman" w:cs="Times New Roman"/>
          <w:color w:val="auto"/>
        </w:rPr>
        <w:t>制订加强老年健康服务体系建设相关指导意见</w:t>
      </w:r>
      <w:bookmarkEnd w:id="122"/>
      <w:bookmarkEnd w:id="123"/>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以标准体系保障服务质量。做好老年疾病预防工作，开展老年常见病、慢性病、筛查干预和健康指导，提高老年健康管理水平。推进老年健康促进与教育工作，提升老年人健康素养。健全多层次养老保险制度体系，协调探索建立长期护理保险制度，为失能老人体面养老提供保障，构建高水平老年健康服务体系。推进适老健康支持环境建设，开展老年人心理健康与关怀服务，营造老年友好社会氛围。进一步激发社会活力，形成政府、社会、企业和家庭多方面驱动的机制，推动老龄事业均衡、协调、健康、多元发展。</w:t>
      </w:r>
      <w:bookmarkStart w:id="124" w:name="_Toc41430537"/>
    </w:p>
    <w:p>
      <w:pPr>
        <w:pStyle w:val="5"/>
        <w:keepNext w:val="0"/>
        <w:keepLines w:val="0"/>
        <w:pageBreakBefore w:val="0"/>
        <w:wordWrap/>
        <w:overflowPunct/>
        <w:topLinePunct w:val="0"/>
        <w:bidi w:val="0"/>
        <w:rPr>
          <w:rFonts w:hint="default" w:ascii="Times New Roman" w:hAnsi="Times New Roman" w:cs="Times New Roman"/>
          <w:color w:val="auto"/>
        </w:rPr>
      </w:pPr>
      <w:bookmarkStart w:id="125" w:name="_Toc7753"/>
      <w:bookmarkStart w:id="126" w:name="_Toc68722422"/>
      <w:r>
        <w:rPr>
          <w:rFonts w:hint="default" w:ascii="Times New Roman" w:hAnsi="Times New Roman" w:cs="Times New Roman"/>
          <w:color w:val="auto"/>
        </w:rPr>
        <w:t>2</w:t>
      </w:r>
      <w:r>
        <w:rPr>
          <w:rFonts w:hint="eastAsia" w:cs="Times New Roman"/>
          <w:color w:val="auto"/>
          <w:lang w:val="en-US" w:eastAsia="zh-CN"/>
        </w:rPr>
        <w:t xml:space="preserve">. </w:t>
      </w:r>
      <w:r>
        <w:rPr>
          <w:rFonts w:hint="default" w:ascii="Times New Roman" w:hAnsi="Times New Roman" w:cs="Times New Roman"/>
          <w:color w:val="auto"/>
        </w:rPr>
        <w:t>整合优化基层医疗卫生机构的老年医养康护等功能建设</w:t>
      </w:r>
      <w:bookmarkEnd w:id="124"/>
      <w:bookmarkEnd w:id="125"/>
      <w:bookmarkEnd w:id="126"/>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着眼社区，推行老年人健康管理、发展老年医疗和康复护理、大力发展中医药健康养老三种服务。推广以居家养老、家庭病床为基础，以日间照料中心社区养老为依托，以医养融合老年病医院和福利机构为补充的“医、养、护一体化”医养结合创新模式。将居家养老和社区托老的老年人健康服务纳入家庭医生签约服务内容，支持符合条件的医师、护士到基层医疗机构进行多点执业。发挥中医药特色，大力发展中医药健康养老，为老年人提供多元化健康服务。</w:t>
      </w:r>
    </w:p>
    <w:p>
      <w:pPr>
        <w:pStyle w:val="5"/>
        <w:keepNext w:val="0"/>
        <w:keepLines w:val="0"/>
        <w:pageBreakBefore w:val="0"/>
        <w:wordWrap/>
        <w:overflowPunct/>
        <w:topLinePunct w:val="0"/>
        <w:bidi w:val="0"/>
        <w:rPr>
          <w:rFonts w:hint="default" w:ascii="Times New Roman" w:hAnsi="Times New Roman" w:cs="Times New Roman"/>
          <w:color w:val="auto"/>
        </w:rPr>
      </w:pPr>
      <w:bookmarkStart w:id="127" w:name="_Toc564"/>
      <w:bookmarkStart w:id="128" w:name="_Toc68722423"/>
      <w:r>
        <w:rPr>
          <w:rFonts w:hint="default" w:ascii="Times New Roman" w:hAnsi="Times New Roman" w:cs="Times New Roman"/>
          <w:color w:val="auto"/>
        </w:rPr>
        <w:t>3</w:t>
      </w:r>
      <w:r>
        <w:rPr>
          <w:rFonts w:hint="eastAsia" w:cs="Times New Roman"/>
          <w:color w:val="auto"/>
          <w:lang w:val="en-US" w:eastAsia="zh-CN"/>
        </w:rPr>
        <w:t xml:space="preserve">. </w:t>
      </w:r>
      <w:r>
        <w:rPr>
          <w:rFonts w:hint="default" w:ascii="Times New Roman" w:hAnsi="Times New Roman" w:cs="Times New Roman"/>
          <w:color w:val="auto"/>
        </w:rPr>
        <w:t>建立健全老年医疗卫生服务体系</w:t>
      </w:r>
      <w:bookmarkEnd w:id="127"/>
      <w:bookmarkEnd w:id="128"/>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探索建立市场化的健康养老服务准入机制，高质量增加健康养老服务供给。在发展养老机构、护理院和康复疗养机构的基础上，建立健全二级以上综合医院与上述机构之间的协作机制，推动双方的转诊与合作，并积极发展综合医院老年病科，从而完善老年人群治疗—康复—长期护理服务链。鼓励和支持社会力量参与、兴办居家医疗养老服务机构，增强养老机构医疗卫生服务能力。推进安宁疗护试点工作，提高临终患者生命质量。不断探索具有天宁特色的老年医疗卫生服务体系，进一步提高服务质量和可及性。有能力的医疗卫生机构开展安宁疗护服务，加强安宁疗护床位建设。</w:t>
      </w:r>
    </w:p>
    <w:p>
      <w:pPr>
        <w:pStyle w:val="5"/>
        <w:keepNext w:val="0"/>
        <w:keepLines w:val="0"/>
        <w:pageBreakBefore w:val="0"/>
        <w:wordWrap/>
        <w:overflowPunct/>
        <w:topLinePunct w:val="0"/>
        <w:bidi w:val="0"/>
        <w:rPr>
          <w:rFonts w:hint="default" w:ascii="Times New Roman" w:hAnsi="Times New Roman" w:cs="Times New Roman"/>
          <w:color w:val="auto"/>
        </w:rPr>
      </w:pPr>
      <w:bookmarkStart w:id="129" w:name="_Toc68722424"/>
      <w:bookmarkStart w:id="130" w:name="_Toc7886"/>
      <w:r>
        <w:rPr>
          <w:rFonts w:hint="default" w:ascii="Times New Roman" w:hAnsi="Times New Roman" w:cs="Times New Roman"/>
          <w:color w:val="auto"/>
          <w:lang w:val="en-US" w:eastAsia="zh-CN"/>
        </w:rPr>
        <w:t>4</w:t>
      </w:r>
      <w:r>
        <w:rPr>
          <w:rFonts w:hint="eastAsia" w:cs="Times New Roman"/>
          <w:color w:val="auto"/>
          <w:lang w:val="en-US" w:eastAsia="zh-CN"/>
        </w:rPr>
        <w:t xml:space="preserve">. </w:t>
      </w:r>
      <w:r>
        <w:rPr>
          <w:rFonts w:hint="default" w:ascii="Times New Roman" w:hAnsi="Times New Roman" w:cs="Times New Roman"/>
          <w:color w:val="auto"/>
        </w:rPr>
        <w:t>推进医疗卫生与养老服务融合发展</w:t>
      </w:r>
      <w:bookmarkEnd w:id="129"/>
      <w:bookmarkEnd w:id="130"/>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探索通过建立“健康服务综合体、医养结合协作体、智慧服务网格化”“两体一网”模式，创新设置天宁区基层医疗卫生机构，实施提标和医养融合功能赋能的新模式，以健康养老为统筹的</w:t>
      </w:r>
      <w:r>
        <w:rPr>
          <w:rFonts w:hint="default" w:ascii="Times New Roman" w:hAnsi="Times New Roman" w:eastAsia="方正仿宋_GBK" w:cs="Times New Roman"/>
          <w:color w:val="auto"/>
          <w:spacing w:val="-11"/>
          <w:kern w:val="0"/>
          <w:sz w:val="32"/>
          <w:szCs w:val="32"/>
          <w:lang w:val="en-US" w:eastAsia="zh-CN" w:bidi="ar-SA"/>
        </w:rPr>
        <w:t>“十五分钟”公共服务圈全覆盖，为居民提供便捷、优质、多元服务。</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鼓励有条件的医疗机构增设养老服务部和养老机构增设医疗服务功能，提高医养结合服务的信息化、智慧化水平，提高社会资源的配置和利用效率，鼓励社会资本参与到老年医疗服务体系中，引导多种模式的基层医养融合服务发展，建立“整合型老年健康服务体系”。规范医养结合机构签约合作，提升医养结合机构服务质量。</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深入推进“康益行”医养融合项目试点，组建专业化的评估团队，对老年人健康状况、服务质量和服务绩效进行评估。以老年人健康状况和实际需求为导向，分级分类、精准施策，开展定制化、个性化的点单式居家上门医养融合服务。总结提炼创新做法和试点经验，探索建立覆盖医养融合服务全流程的标准体系。一方面以政府购买服务满足基本医养融合服务需求，撬动服务市场；另一方面推动医养融合服务准入制，以市场为主导，加强服务质量的评估和监管，以标准体系规范市场化服务高质量发展。拓展受益人群和服务内容，实现城乡服务一体化。</w:t>
      </w:r>
    </w:p>
    <w:p>
      <w:pPr>
        <w:pStyle w:val="5"/>
        <w:keepNext w:val="0"/>
        <w:keepLines w:val="0"/>
        <w:pageBreakBefore w:val="0"/>
        <w:wordWrap/>
        <w:overflowPunct/>
        <w:topLinePunct w:val="0"/>
        <w:bidi w:val="0"/>
        <w:rPr>
          <w:rFonts w:hint="default" w:ascii="Times New Roman" w:hAnsi="Times New Roman" w:cs="Times New Roman"/>
          <w:color w:val="auto"/>
        </w:rPr>
      </w:pPr>
      <w:bookmarkStart w:id="131" w:name="_Toc68722425"/>
      <w:bookmarkStart w:id="132" w:name="_Toc9181"/>
      <w:r>
        <w:rPr>
          <w:rFonts w:hint="default" w:ascii="Times New Roman" w:hAnsi="Times New Roman" w:cs="Times New Roman"/>
          <w:color w:val="auto"/>
        </w:rPr>
        <w:t>5</w:t>
      </w:r>
      <w:r>
        <w:rPr>
          <w:rFonts w:hint="eastAsia" w:cs="Times New Roman"/>
          <w:color w:val="auto"/>
          <w:lang w:val="en-US" w:eastAsia="zh-CN"/>
        </w:rPr>
        <w:t xml:space="preserve">. </w:t>
      </w:r>
      <w:r>
        <w:rPr>
          <w:rFonts w:hint="default" w:ascii="Times New Roman" w:hAnsi="Times New Roman" w:cs="Times New Roman"/>
          <w:color w:val="auto"/>
        </w:rPr>
        <w:t>以需求为导向，利用人工智能助力健康养老发展</w:t>
      </w:r>
      <w:bookmarkEnd w:id="131"/>
      <w:bookmarkEnd w:id="132"/>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助力老年人跨越“数字鸿沟”，为不同年龄段老人提供更有针对性的服务。注重主体多元性，充分激发市场活力，充分运用专业力量，充分发挥老年人作用，结合老年人身心特点，大力推动健康养生、健康体检、咨询管理、体质测定、体育健身、运动康复、医疗旅游等多样化健康服务。利用物联网、云计算、大数据、智能硬件等新一代信息技术产品，推动健康养老服务智慧化升级，支撑健康养老产业发展，开展智慧健康养老试点工作。通过完善天宁区智慧健康养老服务平台功能，配置物联网、智能化设备，整合线上线下医养服务资源，依托“大数据”和“物联网”，实现远程预约、专家评估、咨询会诊、网络门诊等功能，建立“互联网+物联网诊室”，在兰陵九洲新世界社区试点兰陵街道社区卫生服务中心智慧化居家上门医养融合服务，提升居家医养服务的质量，满足个性化居家养老需求。</w:t>
      </w:r>
    </w:p>
    <w:p>
      <w:pPr>
        <w:pStyle w:val="5"/>
        <w:keepNext w:val="0"/>
        <w:keepLines w:val="0"/>
        <w:pageBreakBefore w:val="0"/>
        <w:wordWrap/>
        <w:overflowPunct/>
        <w:topLinePunct w:val="0"/>
        <w:bidi w:val="0"/>
        <w:rPr>
          <w:rFonts w:hint="default" w:ascii="Times New Roman" w:hAnsi="Times New Roman" w:cs="Times New Roman"/>
          <w:color w:val="auto"/>
        </w:rPr>
      </w:pPr>
      <w:bookmarkStart w:id="133" w:name="_Toc10319"/>
      <w:r>
        <w:rPr>
          <w:rFonts w:hint="default" w:ascii="Times New Roman" w:hAnsi="Times New Roman" w:cs="Times New Roman"/>
          <w:color w:val="auto"/>
        </w:rPr>
        <w:t>6</w:t>
      </w:r>
      <w:r>
        <w:rPr>
          <w:rFonts w:hint="eastAsia" w:cs="Times New Roman"/>
          <w:color w:val="auto"/>
          <w:lang w:val="en-US" w:eastAsia="zh-CN"/>
        </w:rPr>
        <w:t xml:space="preserve">. </w:t>
      </w:r>
      <w:r>
        <w:rPr>
          <w:rFonts w:hint="default" w:ascii="Times New Roman" w:hAnsi="Times New Roman" w:cs="Times New Roman"/>
          <w:color w:val="auto"/>
        </w:rPr>
        <w:t>加强老年关爱，构建老年友好环境</w:t>
      </w:r>
      <w:bookmarkEnd w:id="133"/>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开展老年友善医疗机构创建，推动医疗卫生机构开展适老化改造。加强典型培养，注重示范引领。进一步推动老年人就医便利服务。围绕改善老年人居住环境、方便老年人日常出行、提升为老年人服务质量、扩大老年人社会参与、丰富老年人精神文化生活、提高为老服务科技化水平等六方面内容，打造老年友好型社区。形成三个健康养老指导思想：注重供给精准性，强化科技赋能、医养真正结合。立足常州天宁的苏南地区发达城市特点，推动老年友好环境的高质量发展，注重系统性，注重城乡差异性，中心城区做精做细嵌入式医养结合，涉农地区做深做透互助式健康养老。</w:t>
      </w:r>
    </w:p>
    <w:p>
      <w:pPr>
        <w:pStyle w:val="5"/>
        <w:keepNext w:val="0"/>
        <w:keepLines w:val="0"/>
        <w:pageBreakBefore w:val="0"/>
        <w:wordWrap/>
        <w:overflowPunct/>
        <w:topLinePunct w:val="0"/>
        <w:bidi w:val="0"/>
        <w:rPr>
          <w:rFonts w:hint="default" w:ascii="Times New Roman" w:hAnsi="Times New Roman" w:cs="Times New Roman"/>
          <w:color w:val="auto"/>
        </w:rPr>
      </w:pPr>
      <w:bookmarkStart w:id="134" w:name="_Toc68722426"/>
      <w:bookmarkStart w:id="135" w:name="_Toc13198"/>
      <w:r>
        <w:rPr>
          <w:rFonts w:hint="default" w:ascii="Times New Roman" w:hAnsi="Times New Roman" w:cs="Times New Roman"/>
          <w:color w:val="auto"/>
        </w:rPr>
        <w:t>7</w:t>
      </w:r>
      <w:r>
        <w:rPr>
          <w:rFonts w:hint="eastAsia" w:cs="Times New Roman"/>
          <w:color w:val="auto"/>
          <w:lang w:val="en-US" w:eastAsia="zh-CN"/>
        </w:rPr>
        <w:t xml:space="preserve">. </w:t>
      </w:r>
      <w:r>
        <w:rPr>
          <w:rFonts w:hint="default" w:ascii="Times New Roman" w:hAnsi="Times New Roman" w:cs="Times New Roman"/>
          <w:color w:val="auto"/>
        </w:rPr>
        <w:t>切实加强老年健康服务人员队伍建设</w:t>
      </w:r>
      <w:bookmarkEnd w:id="134"/>
      <w:bookmarkEnd w:id="135"/>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全面提升养老服务职业化专业化规范化水平，将老年医学、康复、护理人才作为急需紧缺人才纳入卫生健康人员培训规划，加强专业技能培训。建立健全人才队伍培养管理、薪酬保障和职业发展体系，通过与医药卫生类及相关院校、职业学校等加强联系，实施定向培养、人才引进、继续教育、在岗人员培训等多种形式，大量培养从事老年健康服务的专业人才队伍。支持高等院校和职业院校开设相关专业或课程，加快对老年医学、康复、护理、营养、心理和社会工作等方面专业人才的培养。</w:t>
      </w:r>
    </w:p>
    <w:p>
      <w:pPr>
        <w:pStyle w:val="4"/>
        <w:keepNext w:val="0"/>
        <w:keepLines w:val="0"/>
        <w:pageBreakBefore w:val="0"/>
        <w:widowControl w:val="0"/>
        <w:kinsoku/>
        <w:wordWrap/>
        <w:overflowPunct/>
        <w:topLinePunct w:val="0"/>
        <w:autoSpaceDE/>
        <w:autoSpaceDN/>
        <w:bidi w:val="0"/>
        <w:adjustRightInd/>
        <w:spacing w:beforeAutospacing="0" w:afterAutospacing="0" w:line="570" w:lineRule="exact"/>
        <w:ind w:firstLine="640" w:firstLineChars="200"/>
        <w:jc w:val="both"/>
        <w:textAlignment w:val="auto"/>
        <w:rPr>
          <w:rFonts w:hint="default" w:ascii="Times New Roman" w:hAnsi="Times New Roman" w:eastAsia="方正楷体_GBK" w:cs="Times New Roman"/>
          <w:b w:val="0"/>
          <w:bCs w:val="0"/>
          <w:color w:val="auto"/>
          <w:kern w:val="0"/>
          <w:sz w:val="32"/>
          <w:szCs w:val="32"/>
          <w:lang w:val="en-US" w:eastAsia="zh-CN" w:bidi="ar-SA"/>
        </w:rPr>
      </w:pPr>
      <w:bookmarkStart w:id="136" w:name="_Toc68722427"/>
      <w:bookmarkStart w:id="137" w:name="_Toc3518"/>
      <w:r>
        <w:rPr>
          <w:rFonts w:hint="default" w:ascii="Times New Roman" w:hAnsi="Times New Roman" w:eastAsia="方正楷体_GBK" w:cs="Times New Roman"/>
          <w:b w:val="0"/>
          <w:bCs w:val="0"/>
          <w:color w:val="auto"/>
          <w:kern w:val="0"/>
          <w:sz w:val="32"/>
          <w:szCs w:val="32"/>
          <w:lang w:val="en-US" w:eastAsia="zh-CN" w:bidi="ar-SA"/>
        </w:rPr>
        <w:t>（五）推动中医药事业振兴发展</w:t>
      </w:r>
      <w:bookmarkEnd w:id="136"/>
      <w:bookmarkEnd w:id="137"/>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38" w:name="_Toc68722428"/>
      <w:bookmarkStart w:id="139" w:name="_Toc31315"/>
      <w:r>
        <w:rPr>
          <w:rFonts w:hint="default" w:ascii="Times New Roman" w:hAnsi="Times New Roman" w:cs="Times New Roman"/>
          <w:color w:val="auto"/>
          <w:lang w:val="en-US" w:eastAsia="zh-CN"/>
        </w:rPr>
        <w:t>1</w:t>
      </w:r>
      <w:r>
        <w:rPr>
          <w:rFonts w:hint="eastAsia" w:cs="Times New Roman"/>
          <w:color w:val="auto"/>
          <w:lang w:val="en-US" w:eastAsia="zh-CN"/>
        </w:rPr>
        <w:t xml:space="preserve">. </w:t>
      </w:r>
      <w:r>
        <w:rPr>
          <w:rFonts w:hint="default" w:ascii="Times New Roman" w:hAnsi="Times New Roman" w:cs="Times New Roman"/>
          <w:color w:val="auto"/>
          <w:lang w:val="en-US" w:eastAsia="zh-CN"/>
        </w:rPr>
        <w:t>优化中医药资源配置</w:t>
      </w:r>
      <w:bookmarkEnd w:id="138"/>
      <w:bookmarkEnd w:id="13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加大中医药的投入，中医药事业发展经费纳入本级财政预算，并体现重视和倾斜。巩固“全国基层中医药工作先进单位”成果，2022年按时通过复审。加强市级名中医工作室及工作站的建设，2022年完成市级名中医工作站的建设。积极发展村卫生室、社区卫生服务站的中医阁建设，2024年中医综合服务区建设达标率达60%。深化镇卫生院、社区卫生服务中心“中医馆”内涵建设，进一步提档升级省级中医馆建设单位，焦溪卫生院完成省级中医馆建设。鼓励有资质的中医专业技术人员特别是名老中医开办中医诊所。推动中医门诊部、中医（综合）诊所和中医备案诊所按照规范建设和连锁发展。</w:t>
      </w:r>
      <w:bookmarkStart w:id="140" w:name="_Toc68722429"/>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41" w:name="_Toc13915"/>
      <w:r>
        <w:rPr>
          <w:rFonts w:hint="default" w:ascii="Times New Roman" w:hAnsi="Times New Roman" w:cs="Times New Roman"/>
          <w:color w:val="auto"/>
          <w:lang w:val="en-US" w:eastAsia="zh-CN"/>
        </w:rPr>
        <w:t>2</w:t>
      </w:r>
      <w:r>
        <w:rPr>
          <w:rFonts w:hint="eastAsia" w:cs="Times New Roman"/>
          <w:color w:val="auto"/>
          <w:lang w:val="en-US" w:eastAsia="zh-CN"/>
        </w:rPr>
        <w:t xml:space="preserve">. </w:t>
      </w:r>
      <w:r>
        <w:rPr>
          <w:rFonts w:hint="default" w:ascii="Times New Roman" w:hAnsi="Times New Roman" w:cs="Times New Roman"/>
          <w:color w:val="auto"/>
          <w:lang w:val="en-US" w:eastAsia="zh-CN"/>
        </w:rPr>
        <w:t>加强中医药服务能力建设</w:t>
      </w:r>
      <w:bookmarkEnd w:id="140"/>
      <w:bookmarkEnd w:id="141"/>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加强中医药人才队伍建设，加快中医护理、中药、中西医结合和中医药健康服务等各类紧缺人才培养。建立和完善中医住院医师规范化培训制度，推进院校教育、师承教育与毕业后教育融合发展。加强中医药领军人才、拔尖人才和学科带头人培养。加强中医专业队伍建设，充分发挥中医重点学科、名老中医的作用，实行中医药专家学术经验继承工作指导老师下社区制度。提升基层中医药服务能力，“十四五”末期，乡镇卫生院、社区卫生服务中心中医类别医师占本机构医师总数的比例均达到28%以上，社区卫生服务站均至少配备1名中医类别医师或能够提供中医药服务的临床类别医师，75%以上的村卫生室至少配备1名以中医药服务为主的乡村医生或能中会西的乡村医生。促进中医医疗资源进入养老机构、社区和居民家庭，支持养老机构开展融合中医特色的老年人养生保健、医疗、康复、护理服务，进一步提升老年人健康素养。在家庭医生签约服务中发挥中医药特色优势，逐步实现每个家庭医生团队都有能够提供中医药服务的医师或乡村医生。乡镇卫生院、社区卫生服务中心能够按照中医药技术操作规范开展6类以上中医药技术方法，社区卫生服务站、70%以上的村卫生室能够按照中医药技术操作规范开展4类以上的中医药技术方法。</w:t>
      </w:r>
      <w:bookmarkStart w:id="142" w:name="_Toc68722430"/>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43" w:name="_Toc25436"/>
      <w:r>
        <w:rPr>
          <w:rFonts w:hint="default" w:ascii="Times New Roman" w:hAnsi="Times New Roman" w:cs="Times New Roman"/>
          <w:color w:val="auto"/>
          <w:lang w:val="en-US" w:eastAsia="zh-CN"/>
        </w:rPr>
        <w:t>3</w:t>
      </w:r>
      <w:r>
        <w:rPr>
          <w:rFonts w:hint="eastAsia" w:cs="Times New Roman"/>
          <w:color w:val="auto"/>
          <w:lang w:val="en-US" w:eastAsia="zh-CN"/>
        </w:rPr>
        <w:t xml:space="preserve">. </w:t>
      </w:r>
      <w:r>
        <w:rPr>
          <w:rFonts w:hint="default" w:ascii="Times New Roman" w:hAnsi="Times New Roman" w:cs="Times New Roman"/>
          <w:color w:val="auto"/>
          <w:lang w:val="en-US" w:eastAsia="zh-CN"/>
        </w:rPr>
        <w:t>繁荣发展中医药文化</w:t>
      </w:r>
      <w:bookmarkEnd w:id="142"/>
      <w:bookmarkEnd w:id="143"/>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加强中医药文化宣传，发展中医药养生保健服务，引导人民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群众自觉培养健康生活习惯，发挥中医药在治未病中的主导作用。广泛深入开展中医药文化科普宣传活动，大力推进中医机构文化建设和中医药文化宣传教育基地建设。普及中医药知识，推广中医养生保健技术与方法，基层医疗卫生机构在健康教育中有50%以上的中医药内容，青龙、兰陵及红梅街道社区卫生服务中心建设中医药健康文化知识角。</w:t>
      </w:r>
    </w:p>
    <w:p>
      <w:pPr>
        <w:pStyle w:val="4"/>
        <w:keepNext w:val="0"/>
        <w:keepLines w:val="0"/>
        <w:pageBreakBefore w:val="0"/>
        <w:wordWrap/>
        <w:overflowPunct/>
        <w:topLinePunct w:val="0"/>
        <w:bidi w:val="0"/>
        <w:rPr>
          <w:rFonts w:hint="default" w:ascii="Times New Roman" w:hAnsi="Times New Roman" w:cs="Times New Roman"/>
          <w:color w:val="auto"/>
          <w:lang w:val="en-US" w:eastAsia="zh-CN"/>
        </w:rPr>
      </w:pPr>
      <w:bookmarkStart w:id="144" w:name="_Toc68722431"/>
      <w:bookmarkStart w:id="145" w:name="_Toc17847"/>
      <w:r>
        <w:rPr>
          <w:rFonts w:hint="default" w:ascii="Times New Roman" w:hAnsi="Times New Roman" w:cs="Times New Roman"/>
          <w:color w:val="auto"/>
          <w:lang w:val="en-US" w:eastAsia="zh-CN"/>
        </w:rPr>
        <w:t>（六）加强人才队伍建设</w:t>
      </w:r>
      <w:bookmarkEnd w:id="144"/>
      <w:bookmarkEnd w:id="145"/>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46" w:name="_Toc31869"/>
      <w:bookmarkStart w:id="147" w:name="_Toc68722432"/>
      <w:r>
        <w:rPr>
          <w:rFonts w:hint="default" w:ascii="Times New Roman" w:hAnsi="Times New Roman" w:cs="Times New Roman"/>
          <w:color w:val="auto"/>
          <w:lang w:val="en-US" w:eastAsia="zh-CN"/>
        </w:rPr>
        <w:t>1</w:t>
      </w:r>
      <w:r>
        <w:rPr>
          <w:rFonts w:hint="eastAsia" w:cs="Times New Roman"/>
          <w:color w:val="auto"/>
          <w:lang w:val="en-US" w:eastAsia="zh-CN"/>
        </w:rPr>
        <w:t xml:space="preserve">. </w:t>
      </w:r>
      <w:r>
        <w:rPr>
          <w:rFonts w:hint="default" w:ascii="Times New Roman" w:hAnsi="Times New Roman" w:cs="Times New Roman"/>
          <w:color w:val="auto"/>
          <w:lang w:val="en-US" w:eastAsia="zh-CN"/>
        </w:rPr>
        <w:t>优化人才队伍规模和结构</w:t>
      </w:r>
      <w:bookmarkEnd w:id="146"/>
      <w:bookmarkEnd w:id="147"/>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健全高水平人才梯队建设制度体系。拓展基层人才引进渠道，推动公共卫生、基层卫生机构人员配置，进一步加大引进高层次、紧缺型、特殊性人才支持力度，重点加强儿科、全科、妇幼、以及基层精神、康复、公卫、药学等紧缺专业人才的培养和补充。引导和鼓励各基层单位结合特色科室建设，以提升基本医疗服务水平为核心，开展创新岗位设置和聘用工作。通过人才引进联合培训等方式选拔培养医学领军人才、学科带头人、学科骨干，形成高层次人才梯队。</w:t>
      </w:r>
    </w:p>
    <w:p>
      <w:pPr>
        <w:pStyle w:val="5"/>
        <w:keepNext w:val="0"/>
        <w:keepLines w:val="0"/>
        <w:pageBreakBefore w:val="0"/>
        <w:widowControl w:val="0"/>
        <w:kinsoku/>
        <w:wordWrap/>
        <w:overflowPunct/>
        <w:topLinePunct w:val="0"/>
        <w:autoSpaceDE/>
        <w:autoSpaceDN/>
        <w:bidi w:val="0"/>
        <w:adjustRightInd/>
        <w:spacing w:line="57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bookmarkStart w:id="148" w:name="_Toc68722433"/>
      <w:bookmarkStart w:id="149" w:name="_Toc12504"/>
      <w:r>
        <w:rPr>
          <w:rFonts w:hint="default" w:ascii="Times New Roman" w:hAnsi="Times New Roman" w:eastAsia="方正仿宋_GBK" w:cs="Times New Roman"/>
          <w:b/>
          <w:bCs/>
          <w:color w:val="auto"/>
          <w:kern w:val="0"/>
          <w:sz w:val="32"/>
          <w:szCs w:val="32"/>
          <w:lang w:val="en-US" w:eastAsia="zh-CN" w:bidi="ar-SA"/>
        </w:rPr>
        <w:t>2</w:t>
      </w:r>
      <w:r>
        <w:rPr>
          <w:rFonts w:hint="eastAsia" w:cs="Times New Roman"/>
          <w:color w:val="auto"/>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组织实施基层卫生“人才强基”工程</w:t>
      </w:r>
      <w:bookmarkEnd w:id="148"/>
      <w:bookmarkEnd w:id="149"/>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持续深化基层医疗机构“区管院用”管理体制改革，突破“编制用人”的瓶颈制约，建立健全区级备案编制的“储备池”，强化医疗资源配置效率，提升人事管理效能。进一步规范专业技术人员岗位设置与聘用管理，建立高级岗“能上能下”机制，破除岗位聘用“终身制”。实施高层次、紧缺型人才长期招聘，打通人才招引“绿色通道”，进一步缓解基层单位用人压力。积极拓宽育才平台，完善更加科学、完备、高效的人才培养机制，探索与三甲医院、知名高校建立长效、常态合作机制，积极培育基层学科带头人。完善基层卫生人才规范化培训、岗位技能培训和继续教育培训制度，实施中青年骨干进修培训5年行动计划，开展“6个月三甲医院+3个月区属医院+3个月行政部门+短期管理集训”的“633+1”轮转培训，充实后备干部库。深入推进全科医生制度，到2025年基层全科医生规范化培训率达到100%。促进医务人员在全区范围内合理流动，向市区两级政府申请，通过设立相应的专项补助经费、增加编制计划，满足全区基层卫生人才订单定向培养需求。</w:t>
      </w:r>
    </w:p>
    <w:p>
      <w:pPr>
        <w:pStyle w:val="5"/>
        <w:keepNext w:val="0"/>
        <w:keepLines w:val="0"/>
        <w:pageBreakBefore w:val="0"/>
        <w:widowControl w:val="0"/>
        <w:kinsoku/>
        <w:wordWrap/>
        <w:overflowPunct/>
        <w:topLinePunct w:val="0"/>
        <w:autoSpaceDE/>
        <w:autoSpaceDN/>
        <w:bidi w:val="0"/>
        <w:adjustRightInd/>
        <w:spacing w:line="57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bookmarkStart w:id="150" w:name="_Toc29493"/>
      <w:bookmarkStart w:id="151" w:name="_Toc68722434"/>
      <w:r>
        <w:rPr>
          <w:rFonts w:hint="default" w:ascii="Times New Roman" w:hAnsi="Times New Roman" w:eastAsia="方正仿宋_GBK" w:cs="Times New Roman"/>
          <w:b/>
          <w:bCs/>
          <w:color w:val="auto"/>
          <w:kern w:val="0"/>
          <w:sz w:val="32"/>
          <w:szCs w:val="32"/>
          <w:lang w:val="en-US" w:eastAsia="zh-CN" w:bidi="ar-SA"/>
        </w:rPr>
        <w:t>3</w:t>
      </w:r>
      <w:r>
        <w:rPr>
          <w:rFonts w:hint="eastAsia" w:cs="Times New Roman"/>
          <w:color w:val="auto"/>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完善激励政策</w:t>
      </w:r>
      <w:bookmarkEnd w:id="150"/>
      <w:bookmarkEnd w:id="15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创新基层卫生人才绩效考核、岗位聘用制度、人才奖励办法，积极拓展用才空间，激励保障机制从引进人才向成就人才延伸，促进基层卫生队伍素质提高和结构优化，调动人员积极性。完善绩效考核分配办法，建立符合基层医疗卫生机构特点的人事薪酬制度和科学激励约束机制，依托信息化手段加强量化考核和效果考核，鼓励引入第三方考核，考核结果与绩效工资总量、财政补助、医保支付等挂钩，年终综合考核前3名的基层机构，奖励性绩效总额增幅比例逐步提升至50%-100%。鼓励医疗机构自主制定实施激励政策，提高紧缺医疗人才的薪酬待遇，体现人才价值，提高岗位吸引力。统筹基层人事制度改革，完善《天宁区政府办基层医疗卫生机构加强人员管理和岗位设置管理实施方案》，建立健全完善由区卫健局统一管理的岗位聘用制度体系，</w:t>
      </w:r>
      <w:r>
        <w:rPr>
          <w:rFonts w:hint="default" w:ascii="Times New Roman" w:hAnsi="Times New Roman" w:eastAsia="方正仿宋_GBK" w:cs="Times New Roman"/>
          <w:color w:val="auto"/>
          <w:kern w:val="0"/>
          <w:sz w:val="32"/>
          <w:szCs w:val="32"/>
          <w:lang w:val="zh-CN" w:eastAsia="zh-CN" w:bidi="ar-SA"/>
        </w:rPr>
        <w:t>疾控机构和妇保计生中心高级职称岗位占比从</w:t>
      </w:r>
      <w:r>
        <w:rPr>
          <w:rFonts w:hint="default" w:ascii="Times New Roman" w:hAnsi="Times New Roman" w:eastAsia="方正仿宋_GBK" w:cs="Times New Roman"/>
          <w:color w:val="auto"/>
          <w:kern w:val="0"/>
          <w:sz w:val="32"/>
          <w:szCs w:val="32"/>
          <w:lang w:val="en-US" w:eastAsia="zh-CN" w:bidi="ar-SA"/>
        </w:rPr>
        <w:t>10%提高至25%，</w:t>
      </w:r>
      <w:r>
        <w:rPr>
          <w:rFonts w:hint="default" w:ascii="Times New Roman" w:hAnsi="Times New Roman" w:eastAsia="方正仿宋_GBK" w:cs="Times New Roman"/>
          <w:color w:val="auto"/>
          <w:kern w:val="0"/>
          <w:sz w:val="32"/>
          <w:szCs w:val="32"/>
          <w:lang w:val="zh-CN" w:eastAsia="zh-CN" w:bidi="ar-SA"/>
        </w:rPr>
        <w:t>基层医疗卫生机构高级职称岗位占比从</w:t>
      </w:r>
      <w:r>
        <w:rPr>
          <w:rFonts w:hint="default" w:ascii="Times New Roman" w:hAnsi="Times New Roman" w:eastAsia="方正仿宋_GBK" w:cs="Times New Roman"/>
          <w:color w:val="auto"/>
          <w:kern w:val="0"/>
          <w:sz w:val="32"/>
          <w:szCs w:val="32"/>
          <w:lang w:val="en-US" w:eastAsia="zh-CN" w:bidi="ar-SA"/>
        </w:rPr>
        <w:t>10%提高至20%，拓展基层医务工作者职称晋升通道。充分运用“康益基金”、“青苗基金”等奖励基金，鼓励更多骨干人才扎根基层、服务基层。建立有利于引导医务人员向基层流动、向基层医务人员倾斜的基层医疗机构薪酬分配制度。</w:t>
      </w:r>
    </w:p>
    <w:p>
      <w:pPr>
        <w:pStyle w:val="4"/>
        <w:keepNext w:val="0"/>
        <w:keepLines w:val="0"/>
        <w:pageBreakBefore w:val="0"/>
        <w:widowControl w:val="0"/>
        <w:kinsoku/>
        <w:wordWrap/>
        <w:overflowPunct/>
        <w:topLinePunct w:val="0"/>
        <w:autoSpaceDE/>
        <w:autoSpaceDN/>
        <w:bidi w:val="0"/>
        <w:adjustRightInd/>
        <w:spacing w:line="570" w:lineRule="exact"/>
        <w:ind w:firstLine="640" w:firstLineChars="200"/>
        <w:jc w:val="both"/>
        <w:textAlignment w:val="auto"/>
        <w:rPr>
          <w:rFonts w:hint="default" w:ascii="Times New Roman" w:hAnsi="Times New Roman" w:eastAsia="方正楷体_GBK" w:cs="Times New Roman"/>
          <w:b w:val="0"/>
          <w:bCs w:val="0"/>
          <w:color w:val="auto"/>
          <w:sz w:val="32"/>
          <w:szCs w:val="36"/>
        </w:rPr>
      </w:pPr>
      <w:bookmarkStart w:id="152" w:name="_Toc4486"/>
      <w:bookmarkStart w:id="153" w:name="_Toc68722435"/>
      <w:r>
        <w:rPr>
          <w:rFonts w:hint="default" w:ascii="Times New Roman" w:hAnsi="Times New Roman" w:eastAsia="方正楷体_GBK" w:cs="Times New Roman"/>
          <w:b w:val="0"/>
          <w:bCs w:val="0"/>
          <w:color w:val="auto"/>
          <w:sz w:val="32"/>
          <w:szCs w:val="36"/>
        </w:rPr>
        <w:t>（七）加强监督执法体系建设</w:t>
      </w:r>
      <w:bookmarkEnd w:id="152"/>
      <w:bookmarkEnd w:id="153"/>
    </w:p>
    <w:p>
      <w:pPr>
        <w:pStyle w:val="5"/>
        <w:keepNext w:val="0"/>
        <w:keepLines w:val="0"/>
        <w:pageBreakBefore w:val="0"/>
        <w:widowControl w:val="0"/>
        <w:kinsoku/>
        <w:wordWrap/>
        <w:overflowPunct/>
        <w:topLinePunct w:val="0"/>
        <w:autoSpaceDE/>
        <w:autoSpaceDN/>
        <w:bidi w:val="0"/>
        <w:adjustRightInd/>
        <w:spacing w:line="570" w:lineRule="exact"/>
        <w:ind w:firstLine="643" w:firstLineChars="200"/>
        <w:jc w:val="both"/>
        <w:textAlignment w:val="auto"/>
        <w:rPr>
          <w:rFonts w:hint="default" w:ascii="Times New Roman" w:hAnsi="Times New Roman" w:eastAsia="方正仿宋_GBK" w:cs="Times New Roman"/>
          <w:b/>
          <w:bCs/>
          <w:color w:val="auto"/>
          <w:kern w:val="0"/>
          <w:sz w:val="32"/>
          <w:szCs w:val="32"/>
          <w:lang w:val="en-US" w:eastAsia="zh-CN" w:bidi="ar-SA"/>
        </w:rPr>
      </w:pPr>
      <w:bookmarkStart w:id="154" w:name="_Toc15176"/>
      <w:bookmarkStart w:id="155" w:name="_Toc68722436"/>
      <w:bookmarkStart w:id="156" w:name="_Toc46482850"/>
      <w:r>
        <w:rPr>
          <w:rFonts w:hint="default" w:ascii="Times New Roman" w:hAnsi="Times New Roman" w:eastAsia="方正仿宋_GBK" w:cs="Times New Roman"/>
          <w:b/>
          <w:bCs/>
          <w:color w:val="auto"/>
          <w:kern w:val="0"/>
          <w:sz w:val="32"/>
          <w:szCs w:val="32"/>
          <w:lang w:val="en-US" w:eastAsia="zh-CN" w:bidi="ar-SA"/>
        </w:rPr>
        <w:t>1</w:t>
      </w:r>
      <w:r>
        <w:rPr>
          <w:rFonts w:hint="eastAsia" w:cs="Times New Roman"/>
          <w:color w:val="auto"/>
          <w:lang w:val="en-US" w:eastAsia="zh-CN"/>
        </w:rPr>
        <w:t xml:space="preserve">. </w:t>
      </w:r>
      <w:r>
        <w:rPr>
          <w:rFonts w:hint="default" w:ascii="Times New Roman" w:hAnsi="Times New Roman" w:eastAsia="方正仿宋_GBK" w:cs="Times New Roman"/>
          <w:b/>
          <w:bCs/>
          <w:color w:val="auto"/>
          <w:kern w:val="0"/>
          <w:sz w:val="32"/>
          <w:szCs w:val="32"/>
          <w:lang w:val="en-US" w:eastAsia="zh-CN" w:bidi="ar-SA"/>
        </w:rPr>
        <w:t>加强卫生健康执法监督体系建设</w:t>
      </w:r>
      <w:bookmarkEnd w:id="154"/>
      <w:bookmarkEnd w:id="155"/>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充实综合监管力量，构建市、县（区）、乡镇（街道）综合监管网，逐步增加每万名常住人口配备的卫生健康执法人员数量，到“十四五”末期，全区监督人员配置不少于辖区人口（常住人口）的1.0人/万人。推进卫生健康执法监督机构现代化建设。强化执法队伍能力建设，进一步完善卫生监督员规范培训制度，通过自身培养、高校定向培养、开展多样化、全方位提质增效活动等方式，提高综合监管的专业化、规范化、职业化水平。完善基层执法网络，在乡镇（街道）设置卫生监督辅助力量，建立重心下移、监管下沉的工作承接机制，承担日常巡查、打击非法行医、开展宣传教育等工作，及时发现违法违规线索，弥补监管力量不足而带来的隐患。</w:t>
      </w:r>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57" w:name="_Toc68722437"/>
      <w:bookmarkStart w:id="158" w:name="_Toc20752"/>
      <w:r>
        <w:rPr>
          <w:rFonts w:hint="default" w:ascii="Times New Roman" w:hAnsi="Times New Roman" w:cs="Times New Roman"/>
          <w:color w:val="auto"/>
          <w:lang w:val="en-US" w:eastAsia="zh-CN"/>
        </w:rPr>
        <w:t>2</w:t>
      </w:r>
      <w:r>
        <w:rPr>
          <w:rFonts w:hint="eastAsia" w:cs="Times New Roman"/>
          <w:color w:val="auto"/>
          <w:lang w:val="en-US" w:eastAsia="zh-CN"/>
        </w:rPr>
        <w:t xml:space="preserve">. </w:t>
      </w:r>
      <w:r>
        <w:rPr>
          <w:rFonts w:hint="default" w:ascii="Times New Roman" w:hAnsi="Times New Roman" w:cs="Times New Roman"/>
          <w:color w:val="auto"/>
          <w:lang w:val="en-US" w:eastAsia="zh-CN"/>
        </w:rPr>
        <w:t>建立健全医疗卫生行业综合监管制度</w:t>
      </w:r>
      <w:bookmarkEnd w:id="156"/>
      <w:bookmarkEnd w:id="157"/>
      <w:bookmarkEnd w:id="158"/>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转变传统的卫生监督管理理念、体制和方式，从重点监管政府办医疗卫生机构转向全行业监管，从注重事前审批转向注重事中事后全流程监管，从单项监管转向综合协同监管，形成机构自治、行业自律、政府监管、社会监督相结合的多元化监管体系，强化卫生健康行政部门行业规划、市场准入、标准制定等全行业监管职能。认真贯彻落实《基本医疗卫生与健康促进法》，加强对食品安全、职业卫生、精神卫生、放射卫生、传染病防治、预防接种、实验室生物安全、公共场所卫生、饮用水卫生、学校卫生等公共卫生服务的监管。建立健全基层医疗机构绩效、人事、财务、质量、资产管理等核心制度，强化内涵管理，增强核心制度考核，提高医疗质量安全水平。强化对国家基本公共卫生服务和重大公共卫生服务项目实施情况的绩效考核和监管，加强对医疗卫生机构完成公共卫生服务、突发公共卫生事件防控、突发事件紧急医学救援等任务的指导和考核。加强疫苗生产、流通和使用全过程监督检查，督促疫苗生产企业、流通和接种单位落实责任。加大对重点行业职业病危害专项整治力度。加强对医疗卫生机构医疗废物的监督管理。</w:t>
      </w:r>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59" w:name="_Toc46482851"/>
      <w:bookmarkStart w:id="160" w:name="_Toc68722438"/>
      <w:bookmarkStart w:id="161" w:name="_Toc13057"/>
      <w:r>
        <w:rPr>
          <w:rFonts w:hint="default" w:ascii="Times New Roman" w:hAnsi="Times New Roman" w:cs="Times New Roman"/>
          <w:color w:val="auto"/>
          <w:lang w:val="en-US" w:eastAsia="zh-CN"/>
        </w:rPr>
        <w:t>3</w:t>
      </w:r>
      <w:r>
        <w:rPr>
          <w:rFonts w:hint="eastAsia" w:cs="Times New Roman"/>
          <w:color w:val="auto"/>
          <w:lang w:val="en-US" w:eastAsia="zh-CN"/>
        </w:rPr>
        <w:t xml:space="preserve">. </w:t>
      </w:r>
      <w:r>
        <w:rPr>
          <w:rFonts w:hint="default" w:ascii="Times New Roman" w:hAnsi="Times New Roman" w:cs="Times New Roman"/>
          <w:color w:val="auto"/>
          <w:lang w:val="en-US" w:eastAsia="zh-CN"/>
        </w:rPr>
        <w:t>创新</w:t>
      </w:r>
      <w:bookmarkStart w:id="162" w:name="_Hlk48726178"/>
      <w:r>
        <w:rPr>
          <w:rFonts w:hint="default" w:ascii="Times New Roman" w:hAnsi="Times New Roman" w:cs="Times New Roman"/>
          <w:color w:val="auto"/>
          <w:lang w:val="en-US" w:eastAsia="zh-CN"/>
        </w:rPr>
        <w:t>监管</w:t>
      </w:r>
      <w:bookmarkEnd w:id="162"/>
      <w:r>
        <w:rPr>
          <w:rFonts w:hint="default" w:ascii="Times New Roman" w:hAnsi="Times New Roman" w:cs="Times New Roman"/>
          <w:color w:val="auto"/>
          <w:lang w:val="en-US" w:eastAsia="zh-CN"/>
        </w:rPr>
        <w:t>手段</w:t>
      </w:r>
      <w:bookmarkEnd w:id="159"/>
      <w:bookmarkEnd w:id="160"/>
      <w:bookmarkEnd w:id="161"/>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全面推进行政执法公示、执法全过程记录、重大执法决定法制审核等“三项制度”；深化“放管服”改革，强化事中事后监管，全面推行“双随机</w:t>
      </w:r>
      <w:r>
        <w:rPr>
          <w:rFonts w:hint="eastAsia" w:ascii="Times New Roman" w:hAnsi="Times New Roman" w:eastAsia="方正仿宋_GBK" w:cs="Times New Roman"/>
          <w:color w:val="auto"/>
          <w:kern w:val="0"/>
          <w:sz w:val="32"/>
          <w:szCs w:val="32"/>
          <w:lang w:val="en-US" w:eastAsia="zh-CN" w:bidi="ar-SA"/>
        </w:rPr>
        <w:t>、</w:t>
      </w:r>
      <w:r>
        <w:rPr>
          <w:rFonts w:hint="default" w:ascii="Times New Roman" w:hAnsi="Times New Roman" w:eastAsia="方正仿宋_GBK" w:cs="Times New Roman"/>
          <w:color w:val="auto"/>
          <w:kern w:val="0"/>
          <w:sz w:val="32"/>
          <w:szCs w:val="32"/>
          <w:lang w:val="en-US" w:eastAsia="zh-CN" w:bidi="ar-SA"/>
        </w:rPr>
        <w:t>一公开”监督抽查，建立健全医疗卫生行业信用机制，加强信用信息使用和管理，实施信用分类监管；优化完善卫生监督综合管理信息系统建设，推动人工智能等新兴信息技术与卫生健康监督执法的深度融合，推进监管数据资源共享。实现医疗、医保、医药等监管部门信息互联互通、开放共享，对医院决策、人事、财务、采购、设备“五权”进行实时监督管理。</w:t>
      </w:r>
    </w:p>
    <w:p>
      <w:pPr>
        <w:pStyle w:val="4"/>
        <w:keepNext w:val="0"/>
        <w:keepLines w:val="0"/>
        <w:pageBreakBefore w:val="0"/>
        <w:wordWrap/>
        <w:overflowPunct/>
        <w:topLinePunct w:val="0"/>
        <w:bidi w:val="0"/>
        <w:rPr>
          <w:rFonts w:hint="default" w:ascii="Times New Roman" w:hAnsi="Times New Roman" w:cs="Times New Roman"/>
          <w:color w:val="auto"/>
          <w:lang w:val="en-US" w:eastAsia="zh-CN"/>
        </w:rPr>
      </w:pPr>
      <w:bookmarkStart w:id="163" w:name="_Toc68722439"/>
      <w:bookmarkStart w:id="164" w:name="_Toc19965"/>
      <w:r>
        <w:rPr>
          <w:rFonts w:hint="default" w:ascii="Times New Roman" w:hAnsi="Times New Roman" w:cs="Times New Roman"/>
          <w:color w:val="auto"/>
          <w:lang w:val="en-US" w:eastAsia="zh-CN"/>
        </w:rPr>
        <w:t>（八）构建智慧健康服务体系</w:t>
      </w:r>
      <w:bookmarkEnd w:id="163"/>
      <w:bookmarkEnd w:id="164"/>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65" w:name="_Toc68722440"/>
      <w:bookmarkStart w:id="166" w:name="_Toc31372"/>
      <w:r>
        <w:rPr>
          <w:rFonts w:hint="default" w:ascii="Times New Roman" w:hAnsi="Times New Roman" w:cs="Times New Roman"/>
          <w:color w:val="auto"/>
          <w:lang w:val="en-US" w:eastAsia="zh-CN"/>
        </w:rPr>
        <w:t>1</w:t>
      </w:r>
      <w:r>
        <w:rPr>
          <w:rFonts w:hint="eastAsia" w:cs="Times New Roman"/>
          <w:color w:val="auto"/>
          <w:lang w:val="en-US" w:eastAsia="zh-CN"/>
        </w:rPr>
        <w:t xml:space="preserve">. </w:t>
      </w:r>
      <w:r>
        <w:rPr>
          <w:rFonts w:hint="default" w:ascii="Times New Roman" w:hAnsi="Times New Roman" w:cs="Times New Roman"/>
          <w:color w:val="auto"/>
          <w:lang w:val="en-US" w:eastAsia="zh-CN"/>
        </w:rPr>
        <w:t>推进医疗卫生服务信息化</w:t>
      </w:r>
      <w:bookmarkEnd w:id="165"/>
      <w:bookmarkEnd w:id="166"/>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实施健康云服务计划，建设实时、互联、共享、协同的全民健康信息综合管理平台，开发创建集医疗管理、妇幼保健、卫生监督、应急指挥、居民健康档案、网络教育、医保互通、电子政务等多功能为一体的高效、便捷、畅通、安全的、兼容全面卫生信息的应用体系，实现全区范围内不同医疗卫生机构间、医疗卫生机构与医保等其他机构间互联互通和资源共享，服务资源协同。实现医疗机构间临床信息互通共享、检查检验结果互认、在</w:t>
      </w:r>
      <w:r>
        <w:rPr>
          <w:rFonts w:hint="default" w:ascii="Times New Roman" w:hAnsi="Times New Roman" w:eastAsia="方正仿宋_GBK" w:cs="Times New Roman"/>
          <w:color w:val="auto"/>
          <w:spacing w:val="-11"/>
          <w:kern w:val="0"/>
          <w:sz w:val="32"/>
          <w:szCs w:val="32"/>
          <w:lang w:val="en-US" w:eastAsia="zh-CN" w:bidi="ar-SA"/>
        </w:rPr>
        <w:t>线开展远程会诊和病例讨论、三级医院与基层医疗机构双向转诊等。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以基层医疗机构HIS系统、基本公卫系统、家庭医生签约服务系统为重点，提升基层医疗机构业务信息化水平。全面建成统一权威、互联互通的人口健康信息平台，持续推进覆盖全生命周期的预防、治疗、康复和自主健康管理一体化的居民健康信息服务。居民健康档案全部实现电子化和动态更新，实现全人群、全周期健康信息的连续完整。加强基本公卫数据和医疗业务数据的相互应用和支撑，促进基层医疗机构为辖区居民提供的基本公共</w:t>
      </w:r>
      <w:r>
        <w:rPr>
          <w:rFonts w:hint="default" w:ascii="Times New Roman" w:hAnsi="Times New Roman" w:eastAsia="方正仿宋_GBK" w:cs="Times New Roman"/>
          <w:color w:val="auto"/>
          <w:spacing w:val="-11"/>
          <w:kern w:val="0"/>
          <w:sz w:val="32"/>
          <w:szCs w:val="32"/>
          <w:lang w:val="en-US" w:eastAsia="zh-CN" w:bidi="ar-SA"/>
        </w:rPr>
        <w:t>卫生服务更加精准有效，提升以分级诊疗为目标的医疗服务能力。</w:t>
      </w:r>
    </w:p>
    <w:p>
      <w:pPr>
        <w:pStyle w:val="5"/>
        <w:keepNext w:val="0"/>
        <w:keepLines w:val="0"/>
        <w:pageBreakBefore w:val="0"/>
        <w:wordWrap/>
        <w:overflowPunct/>
        <w:topLinePunct w:val="0"/>
        <w:bidi w:val="0"/>
        <w:rPr>
          <w:rFonts w:hint="default" w:ascii="Times New Roman" w:hAnsi="Times New Roman" w:cs="Times New Roman"/>
          <w:color w:val="auto"/>
          <w:lang w:val="en-US" w:eastAsia="zh-CN"/>
        </w:rPr>
      </w:pPr>
      <w:bookmarkStart w:id="167" w:name="_Toc68722441"/>
      <w:bookmarkStart w:id="168" w:name="_Toc31882"/>
      <w:r>
        <w:rPr>
          <w:rFonts w:hint="default" w:ascii="Times New Roman" w:hAnsi="Times New Roman" w:cs="Times New Roman"/>
          <w:color w:val="auto"/>
          <w:lang w:val="en-US" w:eastAsia="zh-CN"/>
        </w:rPr>
        <w:t>2</w:t>
      </w:r>
      <w:r>
        <w:rPr>
          <w:rFonts w:hint="eastAsia" w:cs="Times New Roman"/>
          <w:color w:val="auto"/>
          <w:lang w:val="en-US" w:eastAsia="zh-CN"/>
        </w:rPr>
        <w:t xml:space="preserve">. </w:t>
      </w:r>
      <w:r>
        <w:rPr>
          <w:rFonts w:hint="default" w:ascii="Times New Roman" w:hAnsi="Times New Roman" w:cs="Times New Roman"/>
          <w:color w:val="auto"/>
          <w:lang w:val="en-US" w:eastAsia="zh-CN"/>
        </w:rPr>
        <w:t>打造智慧化健康服务体系</w:t>
      </w:r>
      <w:bookmarkEnd w:id="167"/>
      <w:bookmarkEnd w:id="168"/>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加强健康医疗大数据应用体系建设，推进基于区域人口健康信息平台的医疗健康大数据开放共享、深度挖掘和广泛应用。积极应用移动互联网、物联网、云计算、可穿戴设备等新技术，创新互联网健康医疗服务模式，推动惠及全民的健康信息服务和智慧医疗服务。实现智慧医疗，完成自助医疗服务的部署实施，有效分流门诊病人，方便群众就医。通过建成覆盖全区社区医疗卫生机构并与区内相关部门、市卫健委互联互通、适应卫生健康改革发展需要的天宁区域卫生信息体系，为宏观管理和决策支持提供数据资源，推动天宁区医疗卫生改革事业可持续发展，实现“智慧健康”。</w:t>
      </w:r>
    </w:p>
    <w:p>
      <w:pPr>
        <w:pStyle w:val="3"/>
        <w:keepNext w:val="0"/>
        <w:keepLines w:val="0"/>
        <w:pageBreakBefore w:val="0"/>
        <w:wordWrap/>
        <w:overflowPunct/>
        <w:topLinePunct w:val="0"/>
        <w:bidi w:val="0"/>
        <w:spacing w:line="550" w:lineRule="exact"/>
        <w:ind w:left="0"/>
        <w:rPr>
          <w:rFonts w:hint="default" w:ascii="Times New Roman" w:hAnsi="Times New Roman" w:cs="Times New Roman"/>
          <w:color w:val="auto"/>
          <w:lang w:val="en-US" w:eastAsia="zh-CN"/>
        </w:rPr>
      </w:pPr>
      <w:bookmarkStart w:id="169" w:name="_Toc68722442"/>
      <w:bookmarkStart w:id="170" w:name="_Toc7940"/>
      <w:r>
        <w:rPr>
          <w:rFonts w:hint="default" w:ascii="Times New Roman" w:hAnsi="Times New Roman" w:cs="Times New Roman"/>
          <w:color w:val="auto"/>
          <w:lang w:val="en-US" w:eastAsia="zh-CN"/>
        </w:rPr>
        <w:t>四、保障措施</w:t>
      </w:r>
      <w:bookmarkEnd w:id="169"/>
      <w:bookmarkEnd w:id="170"/>
    </w:p>
    <w:p>
      <w:pPr>
        <w:pStyle w:val="4"/>
        <w:keepNext w:val="0"/>
        <w:keepLines w:val="0"/>
        <w:pageBreakBefore w:val="0"/>
        <w:wordWrap/>
        <w:overflowPunct/>
        <w:topLinePunct w:val="0"/>
        <w:bidi w:val="0"/>
        <w:spacing w:line="550" w:lineRule="exact"/>
        <w:ind w:left="0"/>
        <w:rPr>
          <w:rFonts w:hint="default" w:ascii="Times New Roman" w:hAnsi="Times New Roman" w:cs="Times New Roman"/>
          <w:color w:val="auto"/>
          <w:lang w:val="en-US" w:eastAsia="zh-CN"/>
        </w:rPr>
      </w:pPr>
      <w:bookmarkStart w:id="171" w:name="_Toc16361"/>
      <w:r>
        <w:rPr>
          <w:rFonts w:hint="default" w:ascii="Times New Roman" w:hAnsi="Times New Roman" w:cs="Times New Roman"/>
          <w:color w:val="auto"/>
          <w:lang w:val="en-US" w:eastAsia="zh-CN"/>
        </w:rPr>
        <w:t>（一）加强组织领导</w:t>
      </w:r>
      <w:bookmarkEnd w:id="171"/>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落实政府对卫生健康事业的办医责任、领导责任、管理责任、保障责任和监督责任。加强组织领导，层层落实责任，及时协调解决卫生健康工作中的重大问题，努力使卫健事业与经济社会发展相协调，人民健康保障水平与经济发展水平相适应。</w:t>
      </w:r>
    </w:p>
    <w:p>
      <w:pPr>
        <w:pStyle w:val="4"/>
        <w:keepNext w:val="0"/>
        <w:keepLines w:val="0"/>
        <w:pageBreakBefore w:val="0"/>
        <w:wordWrap/>
        <w:overflowPunct/>
        <w:topLinePunct w:val="0"/>
        <w:bidi w:val="0"/>
        <w:spacing w:line="550" w:lineRule="exact"/>
        <w:ind w:left="0"/>
        <w:rPr>
          <w:rFonts w:hint="default" w:ascii="Times New Roman" w:hAnsi="Times New Roman" w:cs="Times New Roman"/>
          <w:color w:val="auto"/>
          <w:lang w:val="en-US" w:eastAsia="zh-CN"/>
        </w:rPr>
      </w:pPr>
      <w:bookmarkStart w:id="172" w:name="_Toc32563"/>
      <w:r>
        <w:rPr>
          <w:rFonts w:hint="default" w:ascii="Times New Roman" w:hAnsi="Times New Roman" w:cs="Times New Roman"/>
          <w:color w:val="auto"/>
          <w:lang w:val="en-US" w:eastAsia="zh-CN"/>
        </w:rPr>
        <w:t>（二）形成工作合力</w:t>
      </w:r>
      <w:bookmarkEnd w:id="172"/>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各相关部门明确各自责任，卫生健康、发展改革、财政、人力资源社会保障、中医药管理、老龄等部门要加强协调，分工合作，落实规划相关政策，共同为实现规划目标提供支持。同时各部门间要建立完善的协同配合机制，加强各部门之间的信息交流与资源整合，简化行政程序，避免各行政部门职能交叉，提高行政效率。</w:t>
      </w:r>
    </w:p>
    <w:p>
      <w:pPr>
        <w:pStyle w:val="4"/>
        <w:keepNext w:val="0"/>
        <w:keepLines w:val="0"/>
        <w:pageBreakBefore w:val="0"/>
        <w:wordWrap/>
        <w:overflowPunct/>
        <w:topLinePunct w:val="0"/>
        <w:bidi w:val="0"/>
        <w:spacing w:line="550" w:lineRule="exact"/>
        <w:ind w:left="0"/>
        <w:rPr>
          <w:rFonts w:hint="default" w:ascii="Times New Roman" w:hAnsi="Times New Roman" w:cs="Times New Roman"/>
          <w:color w:val="auto"/>
          <w:lang w:val="en-US" w:eastAsia="zh-CN"/>
        </w:rPr>
      </w:pPr>
      <w:bookmarkStart w:id="173" w:name="_Toc27286"/>
      <w:r>
        <w:rPr>
          <w:rFonts w:hint="default" w:ascii="Times New Roman" w:hAnsi="Times New Roman" w:cs="Times New Roman"/>
          <w:color w:val="auto"/>
          <w:lang w:val="en-US" w:eastAsia="zh-CN"/>
        </w:rPr>
        <w:t>（三）加强财政保障</w:t>
      </w:r>
      <w:bookmarkEnd w:id="173"/>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坚持把基本医疗卫生制度作为公共产品向全民提供，进一步完善政府卫生投入机制，提高政府卫生投入占卫生总费用的比重，明确政府在提供基本医疗卫生服务中的主导地位。有关部门要全面落实现有卫健投入的各项补助政策，破除“以药养医”机制，发挥价格的正向引导作用。同时加强对政府卫生投入的保障机制建设，建立卫生投入绩效评价体系，对卫生投入进行追踪评价，强化投入监测评估，提高资金使用效率，使卫生投入惠及全人群。鼓励和引导社会资本进入医疗行业，形成投资主体多元化、</w:t>
      </w:r>
      <w:r>
        <w:rPr>
          <w:rFonts w:hint="default" w:ascii="Times New Roman" w:hAnsi="Times New Roman" w:eastAsia="方正仿宋_GBK" w:cs="Times New Roman"/>
          <w:color w:val="auto"/>
          <w:spacing w:val="-11"/>
          <w:kern w:val="0"/>
          <w:sz w:val="32"/>
          <w:szCs w:val="32"/>
          <w:lang w:val="en-US" w:eastAsia="zh-CN" w:bidi="ar-SA"/>
        </w:rPr>
        <w:t>投资方式多样的办医体制，满足人民群众多样化的健康服务需求。</w:t>
      </w:r>
    </w:p>
    <w:p>
      <w:pPr>
        <w:pStyle w:val="4"/>
        <w:keepNext w:val="0"/>
        <w:keepLines w:val="0"/>
        <w:pageBreakBefore w:val="0"/>
        <w:wordWrap/>
        <w:overflowPunct/>
        <w:topLinePunct w:val="0"/>
        <w:bidi w:val="0"/>
        <w:spacing w:line="550" w:lineRule="exact"/>
        <w:ind w:left="0"/>
        <w:rPr>
          <w:rFonts w:hint="default" w:ascii="Times New Roman" w:hAnsi="Times New Roman" w:cs="Times New Roman"/>
          <w:color w:val="auto"/>
          <w:lang w:val="en-US" w:eastAsia="zh-CN"/>
        </w:rPr>
      </w:pPr>
      <w:bookmarkStart w:id="174" w:name="_Toc16152"/>
      <w:r>
        <w:rPr>
          <w:rFonts w:hint="default" w:ascii="Times New Roman" w:hAnsi="Times New Roman" w:cs="Times New Roman"/>
          <w:color w:val="auto"/>
          <w:lang w:val="en-US" w:eastAsia="zh-CN"/>
        </w:rPr>
        <w:t>（四）强化规划的执行与监督评价</w:t>
      </w:r>
      <w:bookmarkEnd w:id="174"/>
    </w:p>
    <w:p>
      <w:pPr>
        <w:keepNext w:val="0"/>
        <w:keepLines w:val="0"/>
        <w:pageBreakBefore w:val="0"/>
        <w:widowControl w:val="0"/>
        <w:kinsoku/>
        <w:wordWrap/>
        <w:overflowPunct/>
        <w:topLinePunct w:val="0"/>
        <w:autoSpaceDE/>
        <w:autoSpaceDN/>
        <w:bidi w:val="0"/>
        <w:adjustRightInd/>
        <w:snapToGrid/>
        <w:spacing w:line="550" w:lineRule="exact"/>
        <w:ind w:left="0"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仿宋_GBK" w:cs="Times New Roman"/>
          <w:color w:val="auto"/>
          <w:kern w:val="0"/>
          <w:sz w:val="32"/>
          <w:szCs w:val="32"/>
          <w:lang w:val="en-US" w:eastAsia="zh-CN" w:bidi="ar-SA"/>
        </w:rPr>
        <w:t>坚持把规划的实施列入政府工作目标，加强组织领导，强化统筹协调，增强政策联动：各有关部门共同推进规划的实施与执行，监督实施进度，做好各部门之间的协调工作，确保各项政策落实到位，针对规划执行过程中出现的各类问题，及时制定解决措施，确保规划的顺利推行。建立目标评估机制，制定评估工作办法：建立评估小组，建立健全监督评估制度，建立评估指标体系，充分发挥第三方评估的作用，按规划实施进度及时开展阶段性实施效果评估：形成监测评估报告，提出修改意见，提交行政部门审核后对规划进行调整。</w:t>
      </w:r>
    </w:p>
    <w:p>
      <w:pPr>
        <w:pStyle w:val="2"/>
        <w:keepNext w:val="0"/>
        <w:keepLines w:val="0"/>
        <w:pageBreakBefore w:val="0"/>
        <w:wordWrap/>
        <w:overflowPunct/>
        <w:topLinePunct w:val="0"/>
        <w:bidi w:val="0"/>
        <w:spacing w:line="550" w:lineRule="exact"/>
        <w:ind w:left="0"/>
        <w:rPr>
          <w:rFonts w:hint="default" w:ascii="Times New Roman" w:hAnsi="Times New Roman" w:eastAsia="方正仿宋_GBK" w:cs="Times New Roman"/>
          <w:color w:val="auto"/>
          <w:kern w:val="0"/>
          <w:sz w:val="32"/>
          <w:szCs w:val="32"/>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570" w:lineRule="exact"/>
        <w:ind w:firstLine="272" w:firstLineChars="100"/>
        <w:textAlignment w:val="baseline"/>
        <w:rPr>
          <w:rFonts w:hint="eastAsia" w:ascii="Times New Roman" w:hAnsi="Times New Roman" w:eastAsia="方正仿宋_GBK"/>
          <w:color w:val="000000"/>
          <w:spacing w:val="-4"/>
          <w:kern w:val="0"/>
          <w:sz w:val="28"/>
          <w:szCs w:val="32"/>
        </w:rPr>
      </w:pPr>
    </w:p>
    <w:p>
      <w:pPr>
        <w:pStyle w:val="6"/>
        <w:keepNext w:val="0"/>
        <w:keepLines w:val="0"/>
        <w:pageBreakBefore w:val="0"/>
        <w:widowControl/>
        <w:kinsoku w:val="0"/>
        <w:wordWrap/>
        <w:overflowPunct/>
        <w:topLinePunct w:val="0"/>
        <w:autoSpaceDE w:val="0"/>
        <w:autoSpaceDN w:val="0"/>
        <w:bidi w:val="0"/>
        <w:adjustRightInd w:val="0"/>
        <w:snapToGrid w:val="0"/>
        <w:spacing w:line="20" w:lineRule="exact"/>
        <w:ind w:left="0" w:leftChars="0" w:firstLine="0" w:firstLineChars="0"/>
        <w:textAlignment w:val="baseline"/>
        <w:rPr>
          <w:rFonts w:hint="default"/>
          <w:lang w:val="en-US" w:eastAsia="zh-CN"/>
        </w:rPr>
      </w:pPr>
    </w:p>
    <w:sectPr>
      <w:footerReference r:id="rId8" w:type="default"/>
      <w:pgSz w:w="11906" w:h="16838"/>
      <w:pgMar w:top="2098" w:right="1531" w:bottom="1984" w:left="1531" w:header="709" w:footer="1361"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453F1D-F679-4ABB-869A-28563662F5D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embedRegular r:id="rId2" w:fontKey="{DA27E1E3-69E1-42DC-9D11-4BF83DFFF898}"/>
  </w:font>
  <w:font w:name="Calibri Light">
    <w:panose1 w:val="020F0302020204030204"/>
    <w:charset w:val="00"/>
    <w:family w:val="auto"/>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embedRegular r:id="rId3" w:fontKey="{AF2C0692-1F1F-4C4E-9376-DB94F5D874CB}"/>
  </w:font>
  <w:font w:name="方正仿宋_GBK">
    <w:panose1 w:val="03000509000000000000"/>
    <w:charset w:val="86"/>
    <w:family w:val="auto"/>
    <w:pitch w:val="default"/>
    <w:sig w:usb0="00000001" w:usb1="080E0000" w:usb2="00000000" w:usb3="00000000" w:csb0="00040000" w:csb1="00000000"/>
    <w:embedRegular r:id="rId4" w:fontKey="{26D2BA1C-7CC5-4AB0-8FDA-BB865E60B1C8}"/>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embedRegular r:id="rId5" w:fontKey="{08193925-2C96-4951-9032-A4530335272E}"/>
  </w:font>
  <w:font w:name="方正小标宋_GBK">
    <w:panose1 w:val="03000509000000000000"/>
    <w:charset w:val="86"/>
    <w:family w:val="auto"/>
    <w:pitch w:val="default"/>
    <w:sig w:usb0="00000001" w:usb1="080E0000" w:usb2="00000000" w:usb3="00000000" w:csb0="00040000" w:csb1="00000000"/>
    <w:embedRegular r:id="rId6" w:fontKey="{3B7CBCDF-524C-445E-88E7-D4CD30BA82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44"/>
      </w:tabs>
      <w:spacing w:line="184" w:lineRule="auto"/>
      <w:ind w:firstLine="7533"/>
      <w:rPr>
        <w:rFonts w:hint="eastAsia" w:ascii="宋体" w:hAnsi="宋体" w:eastAsia="宋体" w:cs="宋体"/>
        <w:sz w:val="27"/>
        <w:szCs w:val="27"/>
        <w:lang w:eastAsia="zh-CN"/>
      </w:rPr>
    </w:pPr>
    <w:r>
      <w:rPr>
        <w:sz w:val="27"/>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wp:posOffset>
              </wp:positionV>
              <wp:extent cx="1828800" cy="27432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274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pt;height:21.6pt;width:144pt;mso-position-horizontal:outside;mso-position-horizontal-relative:margin;mso-wrap-style:none;z-index:251661312;mso-width-relative:page;mso-height-relative:page;" filled="f" stroked="f" coordsize="21600,21600" o:gfxdata="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g4GAzWAAAABQEAAA8AAAAAAAAAAQAgAAAAIgAAAGRycy9kb3ducmV2Lnht&#10;bFBLAQIUABQAAAAIAIdO4kCM8NTgNAIAAGIEAAAOAAAAAAAAAAEAIAAAACUBAABkcnMvZTJvRG9j&#10;LnhtbFBLBQYAAAAABgAGAFkBAADLBQAAAAA=&#10;">
              <v:fill on="f" focussize="0,0"/>
              <v:stroke on="f" weight="0.5pt"/>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sz w:val="27"/>
        <w:szCs w:val="27"/>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44"/>
      </w:tabs>
      <w:spacing w:line="184" w:lineRule="auto"/>
      <w:ind w:firstLine="7533"/>
      <w:rPr>
        <w:rFonts w:hint="eastAsia" w:ascii="宋体" w:hAnsi="宋体" w:eastAsia="宋体" w:cs="宋体"/>
        <w:sz w:val="27"/>
        <w:szCs w:val="27"/>
        <w:lang w:eastAsia="zh-CN"/>
      </w:rPr>
    </w:pPr>
    <w:r>
      <w:rPr>
        <w:sz w:val="27"/>
      </w:rPr>
      <mc:AlternateContent>
        <mc:Choice Requires="wps">
          <w:drawing>
            <wp:anchor distT="0" distB="0" distL="114300" distR="114300" simplePos="0" relativeHeight="251662336" behindDoc="0" locked="0" layoutInCell="1" allowOverlap="1">
              <wp:simplePos x="0" y="0"/>
              <wp:positionH relativeFrom="margin">
                <wp:posOffset>4949825</wp:posOffset>
              </wp:positionH>
              <wp:positionV relativeFrom="paragraph">
                <wp:posOffset>38100</wp:posOffset>
              </wp:positionV>
              <wp:extent cx="704215" cy="32702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704215" cy="327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89.75pt;margin-top:3pt;height:25.75pt;width:55.45pt;mso-position-horizontal-relative:margin;z-index:251662336;mso-width-relative:page;mso-height-relative:page;" filled="f" stroked="f" coordsize="21600,21600" o:gfxdata="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Z0CcXXAAAACAEAAA8AAAAAAAAAAQAgAAAAIgAAAGRycy9kb3du&#10;cmV2LnhtbFBLAQIUABQAAAAIAIdO4kBnZIfAOQIAAGMEAAAOAAAAAAAAAAEAIAAAACYBAABkcnMv&#10;ZTJvRG9jLnhtbFBLBQYAAAAABgAGAFkBAADRBQAAAAA=&#10;">
              <v:fill on="f" focussize="0,0"/>
              <v:stroke on="f" weight="0.5pt"/>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sz w:val="27"/>
        <w:szCs w:val="27"/>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44"/>
      </w:tabs>
      <w:spacing w:line="184" w:lineRule="auto"/>
      <w:ind w:firstLine="7533"/>
      <w:rPr>
        <w:rFonts w:hint="eastAsia" w:ascii="宋体" w:hAnsi="宋体" w:eastAsia="宋体" w:cs="宋体"/>
        <w:sz w:val="27"/>
        <w:szCs w:val="27"/>
        <w:lang w:eastAsia="zh-CN"/>
      </w:rPr>
    </w:pPr>
    <w:r>
      <w:rPr>
        <w:sz w:val="27"/>
      </w:rPr>
      <mc:AlternateContent>
        <mc:Choice Requires="wps">
          <w:drawing>
            <wp:anchor distT="0" distB="0" distL="114300" distR="114300" simplePos="0" relativeHeight="251663360" behindDoc="0" locked="0" layoutInCell="1" allowOverlap="1">
              <wp:simplePos x="0" y="0"/>
              <wp:positionH relativeFrom="margin">
                <wp:posOffset>9525</wp:posOffset>
              </wp:positionH>
              <wp:positionV relativeFrom="paragraph">
                <wp:posOffset>28575</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75pt;margin-top:2.25pt;height:144pt;width:144pt;mso-position-horizontal-relative:margin;mso-wrap-style:none;z-index:251663360;mso-width-relative:page;mso-height-relative:page;" filled="f" stroked="f" coordsize="21600,21600" o:gfxdata="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wx//j0wAAAAcBAAAPAAAAAAAAAAEAIAAAACIAAABkcnMvZG93bnJldi54bWxQSwEC&#10;FAAUAAAACACHTuJA1HeY5jICAABjBAAADgAAAAAAAAABACAAAAAiAQAAZHJzL2Uyb0RvYy54bWxQ&#10;SwUGAAAAAAYABgBZAQAAxg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sz w:val="27"/>
        <w:szCs w:val="27"/>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44"/>
      </w:tabs>
      <w:spacing w:line="184" w:lineRule="auto"/>
      <w:ind w:firstLine="7533"/>
      <w:rPr>
        <w:rFonts w:hint="eastAsia" w:ascii="宋体" w:hAnsi="宋体" w:eastAsia="宋体" w:cs="宋体"/>
        <w:sz w:val="27"/>
        <w:szCs w:val="27"/>
        <w:lang w:eastAsia="zh-CN"/>
      </w:rPr>
    </w:pPr>
    <w:r>
      <w:rPr>
        <w:sz w:val="27"/>
      </w:rPr>
      <mc:AlternateContent>
        <mc:Choice Requires="wps">
          <w:drawing>
            <wp:anchor distT="0" distB="0" distL="114300" distR="114300" simplePos="0" relativeHeight="251664384" behindDoc="0" locked="0" layoutInCell="1" allowOverlap="1">
              <wp:simplePos x="0" y="0"/>
              <wp:positionH relativeFrom="margin">
                <wp:posOffset>4987290</wp:posOffset>
              </wp:positionH>
              <wp:positionV relativeFrom="paragraph">
                <wp:posOffset>47625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7pt;margin-top:3.75pt;height:144pt;width:144pt;mso-position-horizontal-relative:margin;mso-wrap-style:none;z-index:251664384;mso-width-relative:page;mso-height-relative:page;" filled="f" stroked="f" coordsize="21600,21600" o:gfxdata="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1YQSfYAAAACgEAAA8AAAAAAAAAAQAgAAAAIgAAAGRycy9kb3ducmV2Lnht&#10;bFBLAQIUABQAAAAIAIdO4kCW3w8JMgIAAGMEAAAOAAAAAAAAAAEAIAAAACcBAABkcnMvZTJvRG9j&#10;LnhtbFBLBQYAAAAABgAGAFkBAADLBQ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sz w:val="27"/>
        <w:szCs w:val="27"/>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444"/>
      </w:tabs>
      <w:spacing w:line="184" w:lineRule="auto"/>
      <w:ind w:firstLine="7533"/>
      <w:rPr>
        <w:rFonts w:hint="eastAsia" w:ascii="宋体" w:hAnsi="宋体" w:eastAsia="宋体" w:cs="宋体"/>
        <w:sz w:val="27"/>
        <w:szCs w:val="27"/>
        <w:lang w:eastAsia="zh-CN"/>
      </w:rPr>
    </w:pPr>
    <w:r>
      <w:rPr>
        <w:sz w:val="27"/>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sz w:val="27"/>
        <w:szCs w:val="27"/>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9</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9"/>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jMzdkZWU4YmZkZDFhYWM4N2Y5MjM0MmMyYzg3MmIifQ=="/>
  </w:docVars>
  <w:rsids>
    <w:rsidRoot w:val="27DD2ACB"/>
    <w:rsid w:val="00211E4C"/>
    <w:rsid w:val="00585E65"/>
    <w:rsid w:val="00C43173"/>
    <w:rsid w:val="0194783D"/>
    <w:rsid w:val="02123181"/>
    <w:rsid w:val="023250AD"/>
    <w:rsid w:val="02572112"/>
    <w:rsid w:val="028A0E19"/>
    <w:rsid w:val="02A24D70"/>
    <w:rsid w:val="02CA3411"/>
    <w:rsid w:val="02D818C6"/>
    <w:rsid w:val="03163634"/>
    <w:rsid w:val="041A2F36"/>
    <w:rsid w:val="04432569"/>
    <w:rsid w:val="04830E26"/>
    <w:rsid w:val="04987318"/>
    <w:rsid w:val="06FF26B9"/>
    <w:rsid w:val="074E77C8"/>
    <w:rsid w:val="078A5E17"/>
    <w:rsid w:val="080D6428"/>
    <w:rsid w:val="085302AB"/>
    <w:rsid w:val="088C26EC"/>
    <w:rsid w:val="089F067F"/>
    <w:rsid w:val="08AC21BC"/>
    <w:rsid w:val="08FF0BAF"/>
    <w:rsid w:val="09267C87"/>
    <w:rsid w:val="09E44614"/>
    <w:rsid w:val="0A080CAE"/>
    <w:rsid w:val="0AF151CC"/>
    <w:rsid w:val="0B316744"/>
    <w:rsid w:val="0B472137"/>
    <w:rsid w:val="0B87535D"/>
    <w:rsid w:val="0BB84D66"/>
    <w:rsid w:val="0BCF4601"/>
    <w:rsid w:val="0C8E44C1"/>
    <w:rsid w:val="0C903CA4"/>
    <w:rsid w:val="0CA37CA2"/>
    <w:rsid w:val="0CBA67BD"/>
    <w:rsid w:val="0CDD5E67"/>
    <w:rsid w:val="0D766D04"/>
    <w:rsid w:val="0DD1005A"/>
    <w:rsid w:val="0EAC3E74"/>
    <w:rsid w:val="0EBF21E3"/>
    <w:rsid w:val="0F5E5AE8"/>
    <w:rsid w:val="10D91A83"/>
    <w:rsid w:val="114A724E"/>
    <w:rsid w:val="1156074C"/>
    <w:rsid w:val="119500A0"/>
    <w:rsid w:val="11DF76F6"/>
    <w:rsid w:val="129D27DF"/>
    <w:rsid w:val="12B026E9"/>
    <w:rsid w:val="13A46379"/>
    <w:rsid w:val="142D5C6D"/>
    <w:rsid w:val="146734DE"/>
    <w:rsid w:val="149D4AB5"/>
    <w:rsid w:val="14F541B2"/>
    <w:rsid w:val="15C5115B"/>
    <w:rsid w:val="15D62B42"/>
    <w:rsid w:val="15DB1830"/>
    <w:rsid w:val="15ED3873"/>
    <w:rsid w:val="161F3D65"/>
    <w:rsid w:val="1642632E"/>
    <w:rsid w:val="175D59D2"/>
    <w:rsid w:val="17760EB0"/>
    <w:rsid w:val="177A1544"/>
    <w:rsid w:val="17CA5112"/>
    <w:rsid w:val="17CB4B19"/>
    <w:rsid w:val="17F120B6"/>
    <w:rsid w:val="17FC6005"/>
    <w:rsid w:val="182E3958"/>
    <w:rsid w:val="185800C8"/>
    <w:rsid w:val="18797847"/>
    <w:rsid w:val="18C36037"/>
    <w:rsid w:val="1937087B"/>
    <w:rsid w:val="19E954D2"/>
    <w:rsid w:val="19EF5756"/>
    <w:rsid w:val="1A62745F"/>
    <w:rsid w:val="1ADF5929"/>
    <w:rsid w:val="1AE94FB9"/>
    <w:rsid w:val="1AEE5B55"/>
    <w:rsid w:val="1C6F6854"/>
    <w:rsid w:val="1CAE3FA7"/>
    <w:rsid w:val="1CDC3027"/>
    <w:rsid w:val="1D06572C"/>
    <w:rsid w:val="1E350E13"/>
    <w:rsid w:val="1E37603B"/>
    <w:rsid w:val="1E745158"/>
    <w:rsid w:val="1EE241F9"/>
    <w:rsid w:val="21D10024"/>
    <w:rsid w:val="221F6292"/>
    <w:rsid w:val="22486A69"/>
    <w:rsid w:val="22A853DB"/>
    <w:rsid w:val="236B2A0F"/>
    <w:rsid w:val="23AC4114"/>
    <w:rsid w:val="23CB66AC"/>
    <w:rsid w:val="256D244F"/>
    <w:rsid w:val="25A61438"/>
    <w:rsid w:val="2630482B"/>
    <w:rsid w:val="26941989"/>
    <w:rsid w:val="26976211"/>
    <w:rsid w:val="270D0281"/>
    <w:rsid w:val="27337CE7"/>
    <w:rsid w:val="27DD2ACB"/>
    <w:rsid w:val="27EE767B"/>
    <w:rsid w:val="28561FC2"/>
    <w:rsid w:val="28B41F1E"/>
    <w:rsid w:val="2915322A"/>
    <w:rsid w:val="2B2A70FD"/>
    <w:rsid w:val="2B633482"/>
    <w:rsid w:val="2C9A7464"/>
    <w:rsid w:val="2CC22BD3"/>
    <w:rsid w:val="2CDB0D1E"/>
    <w:rsid w:val="2D090E94"/>
    <w:rsid w:val="2D8649D1"/>
    <w:rsid w:val="2FDD7A89"/>
    <w:rsid w:val="2FF6561C"/>
    <w:rsid w:val="31D805B1"/>
    <w:rsid w:val="32376B74"/>
    <w:rsid w:val="323A6E2B"/>
    <w:rsid w:val="327B0795"/>
    <w:rsid w:val="32BF68D3"/>
    <w:rsid w:val="33650457"/>
    <w:rsid w:val="342D5594"/>
    <w:rsid w:val="343541A1"/>
    <w:rsid w:val="345C34CD"/>
    <w:rsid w:val="34602D3C"/>
    <w:rsid w:val="346E0D63"/>
    <w:rsid w:val="34B1650A"/>
    <w:rsid w:val="34E268A9"/>
    <w:rsid w:val="350D601C"/>
    <w:rsid w:val="35265625"/>
    <w:rsid w:val="3564684C"/>
    <w:rsid w:val="35CF6299"/>
    <w:rsid w:val="36694F2E"/>
    <w:rsid w:val="38FE4957"/>
    <w:rsid w:val="391F631E"/>
    <w:rsid w:val="3920330C"/>
    <w:rsid w:val="397321C6"/>
    <w:rsid w:val="3A473CE4"/>
    <w:rsid w:val="3A5A6A38"/>
    <w:rsid w:val="3ABF0EE4"/>
    <w:rsid w:val="3AF56EF0"/>
    <w:rsid w:val="3B0D363F"/>
    <w:rsid w:val="3B19759C"/>
    <w:rsid w:val="3B223292"/>
    <w:rsid w:val="3BD66724"/>
    <w:rsid w:val="3C1C1889"/>
    <w:rsid w:val="3D143CBF"/>
    <w:rsid w:val="3D2178F5"/>
    <w:rsid w:val="3D321999"/>
    <w:rsid w:val="3E15736B"/>
    <w:rsid w:val="3E587BC3"/>
    <w:rsid w:val="3E591FDF"/>
    <w:rsid w:val="3E6B4E89"/>
    <w:rsid w:val="3EC73527"/>
    <w:rsid w:val="3FA35EC9"/>
    <w:rsid w:val="40150AAF"/>
    <w:rsid w:val="40BA5F44"/>
    <w:rsid w:val="40C718C8"/>
    <w:rsid w:val="4197325A"/>
    <w:rsid w:val="41C23074"/>
    <w:rsid w:val="42324A15"/>
    <w:rsid w:val="42CD2C62"/>
    <w:rsid w:val="42EF623C"/>
    <w:rsid w:val="43401856"/>
    <w:rsid w:val="4346763D"/>
    <w:rsid w:val="443D7856"/>
    <w:rsid w:val="44E6375C"/>
    <w:rsid w:val="457D3ACC"/>
    <w:rsid w:val="45C061FE"/>
    <w:rsid w:val="46616C51"/>
    <w:rsid w:val="46B869BF"/>
    <w:rsid w:val="46DF3F6C"/>
    <w:rsid w:val="46E076E5"/>
    <w:rsid w:val="47251DC4"/>
    <w:rsid w:val="47B17CAC"/>
    <w:rsid w:val="47B74789"/>
    <w:rsid w:val="47C93887"/>
    <w:rsid w:val="481E59F2"/>
    <w:rsid w:val="485C48D2"/>
    <w:rsid w:val="486F29E7"/>
    <w:rsid w:val="49411FDE"/>
    <w:rsid w:val="49A279EC"/>
    <w:rsid w:val="4A8134F1"/>
    <w:rsid w:val="4B16705D"/>
    <w:rsid w:val="4B212A60"/>
    <w:rsid w:val="4B2C48CA"/>
    <w:rsid w:val="4B460B4B"/>
    <w:rsid w:val="4BAB2880"/>
    <w:rsid w:val="4C955793"/>
    <w:rsid w:val="4CA71990"/>
    <w:rsid w:val="4E6B4C95"/>
    <w:rsid w:val="4F681E47"/>
    <w:rsid w:val="4FCC3F86"/>
    <w:rsid w:val="4FCD7A5D"/>
    <w:rsid w:val="508E0176"/>
    <w:rsid w:val="510017D3"/>
    <w:rsid w:val="52120113"/>
    <w:rsid w:val="528A7BF2"/>
    <w:rsid w:val="52C2099A"/>
    <w:rsid w:val="52FC2762"/>
    <w:rsid w:val="537863BA"/>
    <w:rsid w:val="53812D19"/>
    <w:rsid w:val="548774AA"/>
    <w:rsid w:val="548976A4"/>
    <w:rsid w:val="548E258D"/>
    <w:rsid w:val="54E1755E"/>
    <w:rsid w:val="551E34D6"/>
    <w:rsid w:val="552271AD"/>
    <w:rsid w:val="55A854FE"/>
    <w:rsid w:val="56610096"/>
    <w:rsid w:val="56A4388D"/>
    <w:rsid w:val="571C0969"/>
    <w:rsid w:val="57A952D4"/>
    <w:rsid w:val="58101626"/>
    <w:rsid w:val="581E2839"/>
    <w:rsid w:val="58240E03"/>
    <w:rsid w:val="58621197"/>
    <w:rsid w:val="591F781C"/>
    <w:rsid w:val="592F6B22"/>
    <w:rsid w:val="59420A47"/>
    <w:rsid w:val="59656949"/>
    <w:rsid w:val="5BCC15A7"/>
    <w:rsid w:val="5C496A7D"/>
    <w:rsid w:val="5D903AE7"/>
    <w:rsid w:val="5DFC7C4C"/>
    <w:rsid w:val="5E5440DE"/>
    <w:rsid w:val="5E5447AF"/>
    <w:rsid w:val="5F255B4D"/>
    <w:rsid w:val="5F73699D"/>
    <w:rsid w:val="5FBB6983"/>
    <w:rsid w:val="5FEE0396"/>
    <w:rsid w:val="601B748B"/>
    <w:rsid w:val="60D8301C"/>
    <w:rsid w:val="610C5617"/>
    <w:rsid w:val="61AB07C5"/>
    <w:rsid w:val="61DB4C28"/>
    <w:rsid w:val="62737D19"/>
    <w:rsid w:val="63277659"/>
    <w:rsid w:val="633D3DFE"/>
    <w:rsid w:val="63526AAF"/>
    <w:rsid w:val="63685240"/>
    <w:rsid w:val="63ED2DBD"/>
    <w:rsid w:val="647D2112"/>
    <w:rsid w:val="648C60C5"/>
    <w:rsid w:val="64A531DA"/>
    <w:rsid w:val="64C46FA2"/>
    <w:rsid w:val="64D560A5"/>
    <w:rsid w:val="655C722E"/>
    <w:rsid w:val="659F05EC"/>
    <w:rsid w:val="65E20DEB"/>
    <w:rsid w:val="65E65B3F"/>
    <w:rsid w:val="664C20C1"/>
    <w:rsid w:val="66903C8A"/>
    <w:rsid w:val="66BB3DA6"/>
    <w:rsid w:val="6727641C"/>
    <w:rsid w:val="67502926"/>
    <w:rsid w:val="67A81AC1"/>
    <w:rsid w:val="692E3608"/>
    <w:rsid w:val="69A53C17"/>
    <w:rsid w:val="69D46BE9"/>
    <w:rsid w:val="6A132F25"/>
    <w:rsid w:val="6BF863D7"/>
    <w:rsid w:val="6C9B65E2"/>
    <w:rsid w:val="6CDF2E4F"/>
    <w:rsid w:val="6D0D7C60"/>
    <w:rsid w:val="6DEC3191"/>
    <w:rsid w:val="6DED201E"/>
    <w:rsid w:val="6E49509E"/>
    <w:rsid w:val="6E7E3D7A"/>
    <w:rsid w:val="6EDD35DF"/>
    <w:rsid w:val="6F135033"/>
    <w:rsid w:val="6F2C64D3"/>
    <w:rsid w:val="702C71C8"/>
    <w:rsid w:val="708B31EA"/>
    <w:rsid w:val="70BF2F58"/>
    <w:rsid w:val="70F51878"/>
    <w:rsid w:val="718F14F6"/>
    <w:rsid w:val="71933DB7"/>
    <w:rsid w:val="719E17CE"/>
    <w:rsid w:val="72631EC7"/>
    <w:rsid w:val="73DC038C"/>
    <w:rsid w:val="74E82BF0"/>
    <w:rsid w:val="74F201B4"/>
    <w:rsid w:val="750B2761"/>
    <w:rsid w:val="75430BDC"/>
    <w:rsid w:val="75F67818"/>
    <w:rsid w:val="76F43DA1"/>
    <w:rsid w:val="777059BB"/>
    <w:rsid w:val="77CB32AC"/>
    <w:rsid w:val="77FA7033"/>
    <w:rsid w:val="78655B3B"/>
    <w:rsid w:val="79146697"/>
    <w:rsid w:val="796E1571"/>
    <w:rsid w:val="797B3A40"/>
    <w:rsid w:val="79E1716A"/>
    <w:rsid w:val="7AAB1F4E"/>
    <w:rsid w:val="7BBC3EC2"/>
    <w:rsid w:val="7C404E67"/>
    <w:rsid w:val="7C6A539B"/>
    <w:rsid w:val="7E487708"/>
    <w:rsid w:val="7E5A231B"/>
    <w:rsid w:val="7E6741E5"/>
    <w:rsid w:val="7F741FD1"/>
    <w:rsid w:val="7FF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3">
    <w:name w:val="heading 1"/>
    <w:basedOn w:val="1"/>
    <w:next w:val="1"/>
    <w:autoRedefine/>
    <w:qFormat/>
    <w:uiPriority w:val="0"/>
    <w:pPr>
      <w:keepNext w:val="0"/>
      <w:keepLines w:val="0"/>
      <w:spacing w:line="570" w:lineRule="exact"/>
      <w:ind w:firstLine="1040" w:firstLineChars="200"/>
      <w:outlineLvl w:val="0"/>
    </w:pPr>
    <w:rPr>
      <w:rFonts w:eastAsia="方正黑体_GBK" w:asciiTheme="minorAscii" w:hAnsiTheme="minorAscii"/>
      <w:kern w:val="44"/>
      <w:sz w:val="32"/>
    </w:rPr>
  </w:style>
  <w:style w:type="paragraph" w:styleId="4">
    <w:name w:val="heading 2"/>
    <w:basedOn w:val="1"/>
    <w:next w:val="1"/>
    <w:autoRedefine/>
    <w:unhideWhenUsed/>
    <w:qFormat/>
    <w:uiPriority w:val="9"/>
    <w:pPr>
      <w:keepNext w:val="0"/>
      <w:keepLines w:val="0"/>
      <w:spacing w:line="570" w:lineRule="exact"/>
      <w:ind w:firstLine="1040" w:firstLineChars="200"/>
      <w:outlineLvl w:val="1"/>
    </w:pPr>
    <w:rPr>
      <w:rFonts w:eastAsia="方正楷体_GBK" w:asciiTheme="majorAscii" w:hAnsiTheme="majorAscii" w:cstheme="majorBidi"/>
      <w:bCs/>
      <w:sz w:val="32"/>
      <w:szCs w:val="32"/>
    </w:rPr>
  </w:style>
  <w:style w:type="paragraph" w:styleId="5">
    <w:name w:val="heading 3"/>
    <w:basedOn w:val="1"/>
    <w:next w:val="1"/>
    <w:link w:val="17"/>
    <w:autoRedefine/>
    <w:unhideWhenUsed/>
    <w:qFormat/>
    <w:uiPriority w:val="9"/>
    <w:pPr>
      <w:keepNext w:val="0"/>
      <w:keepLines w:val="0"/>
      <w:spacing w:line="570" w:lineRule="exact"/>
      <w:ind w:firstLine="1040" w:firstLineChars="200"/>
      <w:outlineLvl w:val="2"/>
    </w:pPr>
    <w:rPr>
      <w:rFonts w:ascii="Times New Roman" w:hAnsi="Times New Roman" w:eastAsia="方正仿宋_GBK"/>
      <w:b/>
      <w:bCs/>
      <w:sz w:val="32"/>
      <w:szCs w:val="32"/>
    </w:rPr>
  </w:style>
  <w:style w:type="character" w:default="1" w:styleId="14">
    <w:name w:val="Default Paragraph Font"/>
    <w:autoRedefine/>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c 2"/>
    <w:basedOn w:val="1"/>
    <w:next w:val="1"/>
    <w:autoRedefine/>
    <w:qFormat/>
    <w:uiPriority w:val="39"/>
    <w:pPr>
      <w:ind w:left="210"/>
    </w:pPr>
    <w:rPr>
      <w:szCs w:val="24"/>
    </w:rPr>
  </w:style>
  <w:style w:type="paragraph" w:styleId="6">
    <w:name w:val="Normal Indent"/>
    <w:basedOn w:val="1"/>
    <w:qFormat/>
    <w:uiPriority w:val="99"/>
    <w:pPr>
      <w:ind w:firstLine="420" w:firstLineChars="200"/>
    </w:pPr>
    <w:rPr>
      <w:szCs w:val="24"/>
    </w:rPr>
  </w:style>
  <w:style w:type="paragraph" w:styleId="7">
    <w:name w:val="toc 3"/>
    <w:basedOn w:val="1"/>
    <w:next w:val="1"/>
    <w:autoRedefine/>
    <w:qFormat/>
    <w:uiPriority w:val="39"/>
    <w:pPr>
      <w:ind w:left="420"/>
    </w:pPr>
    <w:rPr>
      <w:szCs w:val="24"/>
    </w:rPr>
  </w:style>
  <w:style w:type="paragraph" w:styleId="8">
    <w:name w:val="Body Text Indent 2"/>
    <w:basedOn w:val="1"/>
    <w:autoRedefine/>
    <w:qFormat/>
    <w:uiPriority w:val="0"/>
    <w:pPr>
      <w:spacing w:line="360" w:lineRule="auto"/>
      <w:ind w:firstLine="630"/>
      <w:jc w:val="left"/>
    </w:pPr>
    <w:rPr>
      <w:rFonts w:eastAsia="仿宋_GB2312"/>
      <w:sz w:val="32"/>
      <w:szCs w:val="20"/>
    </w:rPr>
  </w:style>
  <w:style w:type="paragraph" w:styleId="9">
    <w:name w:val="footer"/>
    <w:basedOn w:val="1"/>
    <w:qFormat/>
    <w:uiPriority w:val="0"/>
    <w:pPr>
      <w:tabs>
        <w:tab w:val="center" w:pos="4153"/>
        <w:tab w:val="right" w:pos="8306"/>
      </w:tabs>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qFormat/>
    <w:uiPriority w:val="39"/>
    <w:rPr>
      <w:szCs w:val="24"/>
    </w:rPr>
  </w:style>
  <w:style w:type="paragraph" w:styleId="12">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5">
    <w:name w:val="Hyperlink"/>
    <w:basedOn w:val="14"/>
    <w:autoRedefine/>
    <w:unhideWhenUsed/>
    <w:qFormat/>
    <w:uiPriority w:val="99"/>
    <w:rPr>
      <w:color w:val="0563C1" w:themeColor="hyperlink"/>
      <w:u w:val="single"/>
      <w14:textFill>
        <w14:solidFill>
          <w14:schemeClr w14:val="hlink"/>
        </w14:solidFill>
      </w14:textFill>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character" w:customStyle="1" w:styleId="17">
    <w:name w:val="标题 3 Char"/>
    <w:basedOn w:val="14"/>
    <w:link w:val="5"/>
    <w:autoRedefine/>
    <w:qFormat/>
    <w:uiPriority w:val="9"/>
    <w:rPr>
      <w:rFonts w:ascii="Times New Roman" w:hAnsi="Times New Roman" w:eastAsia="方正仿宋_GBK"/>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28091</Words>
  <Characters>28907</Characters>
  <Lines>0</Lines>
  <Paragraphs>0</Paragraphs>
  <TotalTime>83</TotalTime>
  <ScaleCrop>false</ScaleCrop>
  <LinksUpToDate>false</LinksUpToDate>
  <CharactersWithSpaces>29033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2021-12-20T07:25:00Z</dcterms:created>
  <dc:creator>Spe</dc:creator>
  <cp:lastModifiedBy>未遂</cp:lastModifiedBy>
  <cp:lastPrinted>2022-07-21T08:37:00Z</cp:lastPrinted>
  <dcterms:modified xsi:type="dcterms:W3CDTF">2024-03-01T07:59:48Z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5640FDB27085483DA634CA9282936081</vt:lpwstr>
  </property>
</Properties>
</file>