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52"/>
          <w:szCs w:val="52"/>
        </w:rPr>
      </w:pPr>
      <w:r>
        <w:rPr>
          <w:rFonts w:ascii="宋体" w:hAnsi="宋体"/>
          <w:sz w:val="52"/>
          <w:szCs w:val="52"/>
        </w:rPr>
        <w:t>江苏省固体（危险）废物</w:t>
      </w:r>
    </w:p>
    <w:p>
      <w:pPr>
        <w:jc w:val="center"/>
        <w:rPr>
          <w:rFonts w:ascii="宋体" w:hAnsi="宋体"/>
          <w:sz w:val="52"/>
          <w:szCs w:val="52"/>
        </w:rPr>
      </w:pPr>
      <w:r>
        <w:rPr>
          <w:rFonts w:ascii="宋体" w:hAnsi="宋体"/>
          <w:sz w:val="52"/>
          <w:szCs w:val="52"/>
        </w:rPr>
        <w:t>跨省</w:t>
      </w:r>
      <w:r>
        <w:rPr>
          <w:rFonts w:hint="eastAsia" w:ascii="宋体" w:hAnsi="宋体"/>
          <w:sz w:val="52"/>
          <w:szCs w:val="52"/>
        </w:rPr>
        <w:t>（市）</w:t>
      </w:r>
      <w:r>
        <w:rPr>
          <w:rFonts w:ascii="宋体" w:hAnsi="宋体"/>
          <w:sz w:val="52"/>
          <w:szCs w:val="52"/>
        </w:rPr>
        <w:t>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4"/>
        <w:tabs>
          <w:tab w:val="left" w:pos="5940"/>
        </w:tabs>
        <w:snapToGrid w:val="0"/>
        <w:rPr>
          <w:rFonts w:ascii="Times New Roman" w:hAnsi="Times New Roman"/>
          <w:b/>
          <w:sz w:val="32"/>
        </w:rPr>
      </w:pPr>
      <w:r>
        <w:rPr>
          <w:rFonts w:ascii="Times New Roman" w:hAnsi="宋体"/>
          <w:b/>
          <w:sz w:val="32"/>
        </w:rPr>
        <w:t>申请单位：</w:t>
      </w:r>
      <w:r>
        <w:rPr>
          <w:rFonts w:ascii="Times New Roman" w:hAnsi="Times New Roman"/>
          <w:b/>
          <w:sz w:val="32"/>
          <w:u w:val="single"/>
        </w:rPr>
        <w:t xml:space="preserve">   </w:t>
      </w:r>
      <w:r>
        <w:rPr>
          <w:rFonts w:hint="eastAsia" w:ascii="Times New Roman" w:hAnsi="Times New Roman"/>
          <w:b/>
          <w:sz w:val="32"/>
          <w:u w:val="single"/>
        </w:rPr>
        <w:t xml:space="preserve">常州腾飞特材科技有限公司    </w:t>
      </w:r>
      <w:r>
        <w:rPr>
          <w:rFonts w:ascii="Times New Roman" w:hAnsi="Times New Roman"/>
          <w:b/>
          <w:sz w:val="32"/>
          <w:u w:val="single"/>
        </w:rPr>
        <w:t xml:space="preserve"> </w:t>
      </w:r>
      <w:r>
        <w:rPr>
          <w:rFonts w:ascii="Times New Roman" w:hAnsi="宋体"/>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w:t>
      </w:r>
      <w:r>
        <w:rPr>
          <w:rFonts w:hint="eastAsia" w:ascii="Times New Roman" w:hAnsi="Times New Roman"/>
          <w:b/>
          <w:sz w:val="32"/>
          <w:u w:val="single"/>
        </w:rPr>
        <w:t xml:space="preserve">    </w:t>
      </w:r>
      <w:r>
        <w:rPr>
          <w:rFonts w:ascii="Times New Roman" w:hAnsi="Times New Roman"/>
          <w:b/>
          <w:sz w:val="32"/>
          <w:u w:val="single"/>
        </w:rPr>
        <w:t xml:space="preserve"> </w:t>
      </w:r>
      <w:r>
        <w:rPr>
          <w:rFonts w:hint="eastAsia" w:ascii="Times New Roman" w:hAnsi="Times New Roman"/>
          <w:b/>
          <w:sz w:val="32"/>
          <w:u w:val="single"/>
        </w:rPr>
        <w:t>202</w:t>
      </w:r>
      <w:r>
        <w:rPr>
          <w:rFonts w:hint="eastAsia" w:ascii="Times New Roman" w:hAnsi="Times New Roman"/>
          <w:b/>
          <w:sz w:val="32"/>
          <w:u w:val="single"/>
          <w:lang w:val="en-US" w:eastAsia="zh-CN"/>
        </w:rPr>
        <w:t>3</w:t>
      </w:r>
      <w:r>
        <w:rPr>
          <w:rFonts w:hint="eastAsia" w:ascii="Times New Roman" w:hAnsi="Times New Roman"/>
          <w:b/>
          <w:sz w:val="32"/>
          <w:u w:val="single"/>
        </w:rPr>
        <w:t>.11.2</w:t>
      </w:r>
      <w:r>
        <w:rPr>
          <w:rFonts w:hint="eastAsia" w:ascii="Times New Roman" w:hAnsi="Times New Roman"/>
          <w:b/>
          <w:sz w:val="32"/>
          <w:u w:val="single"/>
          <w:lang w:val="en-US" w:eastAsia="zh-CN"/>
        </w:rPr>
        <w:t>5</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eastAsia="楷体_GB2312"/>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NumType w:start="1"/>
          <w:cols w:space="720" w:num="1"/>
          <w:docGrid w:type="lines" w:linePitch="286" w:charSpace="0"/>
        </w:sectPr>
      </w:pPr>
      <w:r>
        <w:rPr>
          <w:rFonts w:ascii="Times New Roman" w:hAnsi="宋体"/>
          <w:b/>
          <w:sz w:val="24"/>
        </w:rPr>
        <w:t>江苏省环境保护厅制</w:t>
      </w:r>
    </w:p>
    <w:p>
      <w:pPr>
        <w:ind w:right="-758" w:rightChars="-361"/>
        <w:jc w:val="center"/>
        <w:rPr>
          <w:rFonts w:ascii="宋体" w:hAnsi="宋体"/>
          <w:sz w:val="44"/>
          <w:szCs w:val="44"/>
        </w:rPr>
      </w:pPr>
      <w:r>
        <w:rPr>
          <w:rFonts w:ascii="宋体" w:hAnsi="宋体"/>
          <w:sz w:val="44"/>
          <w:szCs w:val="44"/>
        </w:rPr>
        <w:t>申请者声明</w:t>
      </w:r>
    </w:p>
    <w:p>
      <w:pPr>
        <w:ind w:right="-758" w:rightChars="-361"/>
        <w:jc w:val="center"/>
        <w:rPr>
          <w:rFonts w:ascii="宋体" w:hAnsi="宋体"/>
          <w:b/>
          <w:sz w:val="44"/>
          <w:szCs w:val="44"/>
        </w:rPr>
      </w:pPr>
    </w:p>
    <w:p>
      <w:pPr>
        <w:spacing w:line="360" w:lineRule="auto"/>
        <w:ind w:left="-210" w:leftChars="-100" w:right="-210" w:rightChars="-100" w:firstLine="640" w:firstLineChars="200"/>
        <w:rPr>
          <w:rFonts w:ascii="宋体" w:hAnsi="宋体"/>
          <w:sz w:val="32"/>
          <w:szCs w:val="32"/>
        </w:rPr>
      </w:pPr>
      <w:r>
        <w:rPr>
          <w:rFonts w:ascii="宋体" w:hAnsi="宋体"/>
          <w:sz w:val="32"/>
          <w:szCs w:val="32"/>
        </w:rPr>
        <w:t>我代表申请单位郑重承诺：本实施方案所填资料是完整的和真实的。转移的危险废物名称、</w:t>
      </w:r>
      <w:r>
        <w:rPr>
          <w:rFonts w:hint="eastAsia" w:ascii="宋体" w:hAnsi="宋体"/>
          <w:sz w:val="32"/>
          <w:szCs w:val="32"/>
        </w:rPr>
        <w:t>类别、</w:t>
      </w:r>
      <w:r>
        <w:rPr>
          <w:rFonts w:ascii="宋体" w:hAnsi="宋体"/>
          <w:sz w:val="32"/>
          <w:szCs w:val="32"/>
        </w:rPr>
        <w:t>代码、数量与实际相符</w:t>
      </w:r>
      <w:r>
        <w:rPr>
          <w:rFonts w:hint="eastAsia" w:ascii="宋体" w:hAnsi="宋体"/>
          <w:sz w:val="32"/>
          <w:szCs w:val="32"/>
        </w:rPr>
        <w:t>。危险废物接受单位具备相应的处置利用能力</w:t>
      </w:r>
      <w:r>
        <w:rPr>
          <w:rFonts w:ascii="宋体" w:hAnsi="宋体"/>
          <w:sz w:val="32"/>
          <w:szCs w:val="32"/>
        </w:rPr>
        <w:t>和污染防治</w:t>
      </w:r>
      <w:r>
        <w:rPr>
          <w:rFonts w:hint="eastAsia" w:ascii="宋体" w:hAnsi="宋体"/>
          <w:sz w:val="32"/>
          <w:szCs w:val="32"/>
        </w:rPr>
        <w:t>措施。</w:t>
      </w:r>
      <w:r>
        <w:rPr>
          <w:rFonts w:ascii="宋体" w:hAnsi="宋体"/>
          <w:sz w:val="32"/>
          <w:szCs w:val="32"/>
        </w:rPr>
        <w:t>委托有资质单位进行运输并按照制定的运输路线运输，保证转移的废物均到达接收单位进行安全处置处理，对转移过程中可能产生的环境风险提出合理的控制措施，实行跨省</w:t>
      </w:r>
      <w:r>
        <w:rPr>
          <w:rFonts w:hint="eastAsia" w:ascii="宋体" w:hAnsi="宋体"/>
          <w:sz w:val="32"/>
          <w:szCs w:val="32"/>
        </w:rPr>
        <w:t>（市）</w:t>
      </w:r>
      <w:r>
        <w:rPr>
          <w:rFonts w:ascii="宋体" w:hAnsi="宋体"/>
          <w:sz w:val="32"/>
          <w:szCs w:val="32"/>
        </w:rPr>
        <w:t>转移网上报告，承担转移全过程监控责任。</w:t>
      </w: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6"/>
          <w:szCs w:val="36"/>
        </w:rPr>
        <w:t xml:space="preserve">                                </w:t>
      </w: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p>
    <w:p>
      <w:pPr>
        <w:ind w:left="-210" w:leftChars="-100" w:right="-210" w:rightChars="-100" w:firstLine="1264"/>
        <w:rPr>
          <w:rFonts w:ascii="Times New Roman" w:hAnsi="Times New Roman" w:eastAsia="方正仿宋_GBK"/>
          <w:sz w:val="36"/>
          <w:szCs w:val="36"/>
        </w:rPr>
      </w:pPr>
      <w:r>
        <w:rPr>
          <w:rFonts w:ascii="Times New Roman" w:hAnsi="Times New Roman" w:eastAsia="方正仿宋_GBK"/>
          <w:sz w:val="32"/>
          <w:szCs w:val="32"/>
        </w:rPr>
        <w:t xml:space="preserve">     </w:t>
      </w:r>
    </w:p>
    <w:p>
      <w:pPr>
        <w:ind w:left="-210" w:leftChars="-100" w:right="-210" w:rightChars="-100" w:firstLine="1264"/>
        <w:jc w:val="center"/>
        <w:rPr>
          <w:rFonts w:ascii="宋体" w:hAnsi="宋体"/>
          <w:sz w:val="32"/>
          <w:szCs w:val="32"/>
        </w:rPr>
      </w:pPr>
      <w:r>
        <w:rPr>
          <w:rFonts w:ascii="Times New Roman" w:hAnsi="Times New Roman" w:eastAsia="方正仿宋_GBK"/>
          <w:sz w:val="32"/>
          <w:szCs w:val="32"/>
        </w:rPr>
        <w:t xml:space="preserve">      </w:t>
      </w:r>
      <w:r>
        <w:rPr>
          <w:rFonts w:ascii="宋体" w:hAnsi="宋体"/>
          <w:sz w:val="32"/>
          <w:szCs w:val="32"/>
        </w:rPr>
        <w:t>法人代表签字：</w:t>
      </w:r>
    </w:p>
    <w:p>
      <w:pPr>
        <w:ind w:left="-210" w:leftChars="-100" w:right="-210" w:rightChars="-100" w:firstLine="1264"/>
        <w:jc w:val="center"/>
        <w:rPr>
          <w:rFonts w:ascii="宋体" w:hAnsi="宋体"/>
          <w:sz w:val="36"/>
          <w:szCs w:val="36"/>
        </w:rPr>
      </w:pPr>
      <w:r>
        <w:rPr>
          <w:rFonts w:ascii="宋体" w:hAnsi="宋体"/>
          <w:sz w:val="36"/>
          <w:szCs w:val="36"/>
        </w:rPr>
        <w:t xml:space="preserve">                 </w:t>
      </w:r>
      <w:r>
        <w:rPr>
          <w:rFonts w:ascii="宋体" w:hAnsi="宋体"/>
          <w:sz w:val="32"/>
          <w:szCs w:val="32"/>
        </w:rPr>
        <w:t>年    月  日</w:t>
      </w:r>
    </w:p>
    <w:p>
      <w:pPr>
        <w:ind w:left="-210" w:leftChars="-100" w:right="-210" w:rightChars="-100" w:firstLine="1264"/>
        <w:jc w:val="center"/>
        <w:rPr>
          <w:rFonts w:ascii="宋体" w:hAnsi="宋体"/>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rPr>
          <w:rFonts w:ascii="Times New Roman" w:hAnsi="Times New Roman"/>
          <w:sz w:val="28"/>
        </w:rPr>
      </w:pPr>
    </w:p>
    <w:p>
      <w:pPr>
        <w:rPr>
          <w:rFonts w:ascii="Times New Roman" w:eastAsia="黑体"/>
          <w:sz w:val="28"/>
          <w:szCs w:val="28"/>
        </w:rPr>
      </w:pPr>
    </w:p>
    <w:p>
      <w:pPr>
        <w:rPr>
          <w:rFonts w:ascii="Times New Roman" w:hAnsi="Times New Roman" w:eastAsia="黑体"/>
          <w:sz w:val="28"/>
          <w:szCs w:val="28"/>
        </w:rPr>
      </w:pPr>
      <w:r>
        <w:rPr>
          <w:rFonts w:ascii="Times New Roman" w:eastAsia="黑体"/>
          <w:sz w:val="28"/>
          <w:szCs w:val="28"/>
        </w:rPr>
        <w:t>第一部分：拟转移废物基本情况</w:t>
      </w:r>
    </w:p>
    <w:tbl>
      <w:tblPr>
        <w:tblStyle w:val="8"/>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tcPr>
          <w:p>
            <w:pPr>
              <w:rPr>
                <w:rFonts w:ascii="Times New Roman" w:hAnsi="Times New Roman" w:eastAsia="黑体"/>
                <w:sz w:val="24"/>
              </w:rPr>
            </w:pPr>
            <w:r>
              <w:rPr>
                <w:rFonts w:ascii="Times New Roman" w:eastAsia="黑体"/>
                <w:sz w:val="24"/>
              </w:rPr>
              <w:t>表</w:t>
            </w:r>
            <w:r>
              <w:rPr>
                <w:rFonts w:ascii="Times New Roman" w:hAnsi="Times New Roman" w:eastAsia="黑体"/>
                <w:sz w:val="24"/>
              </w:rPr>
              <w:t xml:space="preserve">1 </w:t>
            </w:r>
            <w:r>
              <w:rPr>
                <w:rFonts w:ascii="Times New Roman" w:eastAsia="黑体"/>
                <w:sz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tcPr>
          <w:p>
            <w:pPr>
              <w:spacing w:line="300" w:lineRule="exact"/>
              <w:rPr>
                <w:rFonts w:ascii="Times New Roman"/>
                <w:szCs w:val="21"/>
              </w:rPr>
            </w:pPr>
            <w:r>
              <w:rPr>
                <w:rFonts w:ascii="Times New Roman"/>
                <w:szCs w:val="21"/>
              </w:rPr>
              <w:t>废物产生企业概况（企业投产时间、主要经营范围及规模）</w:t>
            </w:r>
          </w:p>
          <w:p>
            <w:pPr>
              <w:spacing w:line="300" w:lineRule="exact"/>
              <w:ind w:firstLine="420" w:firstLineChars="200"/>
              <w:rPr>
                <w:rFonts w:ascii="Times New Roman"/>
                <w:szCs w:val="21"/>
              </w:rPr>
            </w:pPr>
            <w:r>
              <w:rPr>
                <w:rFonts w:hint="eastAsia"/>
              </w:rPr>
              <w:t>常州腾飞特材科技有限公司投产于2003年10月，主要经营空调设备及不锈钢制品制造，年产量3000吨。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vAlign w:val="center"/>
          </w:tcPr>
          <w:p>
            <w:pPr>
              <w:spacing w:line="300" w:lineRule="exact"/>
              <w:rPr>
                <w:rFonts w:ascii="Times New Roman" w:hAnsi="Times New Roman"/>
                <w:szCs w:val="21"/>
              </w:rPr>
            </w:pPr>
            <w:r>
              <w:rPr>
                <w:rFonts w:ascii="Times New Roman"/>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vAlign w:val="center"/>
          </w:tcPr>
          <w:p>
            <w:pPr>
              <w:spacing w:line="300" w:lineRule="exact"/>
              <w:jc w:val="center"/>
              <w:rPr>
                <w:rFonts w:ascii="Times New Roman" w:hAnsi="Times New Roman"/>
                <w:szCs w:val="21"/>
              </w:rPr>
            </w:pPr>
            <w:r>
              <w:rPr>
                <w:rFonts w:ascii="Times New Roman"/>
                <w:szCs w:val="21"/>
              </w:rPr>
              <w:t>产品情况</w:t>
            </w:r>
          </w:p>
        </w:tc>
        <w:tc>
          <w:tcPr>
            <w:tcW w:w="4215" w:type="dxa"/>
            <w:gridSpan w:val="2"/>
            <w:vAlign w:val="center"/>
          </w:tcPr>
          <w:p>
            <w:pPr>
              <w:spacing w:line="300" w:lineRule="exact"/>
              <w:jc w:val="center"/>
              <w:rPr>
                <w:rFonts w:ascii="Times New Roman" w:hAnsi="Times New Roman"/>
                <w:szCs w:val="21"/>
              </w:rPr>
            </w:pPr>
            <w:r>
              <w:rPr>
                <w:rFonts w:ascii="Times New Roman"/>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vAlign w:val="center"/>
          </w:tcPr>
          <w:p>
            <w:pPr>
              <w:spacing w:line="300" w:lineRule="exact"/>
              <w:jc w:val="center"/>
              <w:rPr>
                <w:rFonts w:ascii="Times New Roman" w:hAnsi="Times New Roman"/>
                <w:szCs w:val="21"/>
              </w:rPr>
            </w:pPr>
            <w:r>
              <w:rPr>
                <w:rFonts w:ascii="Times New Roman"/>
                <w:szCs w:val="21"/>
              </w:rPr>
              <w:t>产品名称</w:t>
            </w:r>
          </w:p>
        </w:tc>
        <w:tc>
          <w:tcPr>
            <w:tcW w:w="2052" w:type="dxa"/>
            <w:vAlign w:val="center"/>
          </w:tcPr>
          <w:p>
            <w:pPr>
              <w:spacing w:line="300" w:lineRule="exact"/>
              <w:jc w:val="center"/>
              <w:rPr>
                <w:rFonts w:ascii="Times New Roman" w:hAnsi="Times New Roman"/>
                <w:szCs w:val="21"/>
              </w:rPr>
            </w:pPr>
            <w:r>
              <w:rPr>
                <w:rFonts w:ascii="Times New Roman"/>
                <w:szCs w:val="21"/>
              </w:rPr>
              <w:t>主要成分化学名</w:t>
            </w:r>
          </w:p>
        </w:tc>
        <w:tc>
          <w:tcPr>
            <w:tcW w:w="1350" w:type="dxa"/>
            <w:vAlign w:val="center"/>
          </w:tcPr>
          <w:p>
            <w:pPr>
              <w:spacing w:line="300" w:lineRule="exact"/>
              <w:jc w:val="center"/>
              <w:rPr>
                <w:rFonts w:ascii="Times New Roman" w:hAnsi="Times New Roman"/>
                <w:szCs w:val="21"/>
              </w:rPr>
            </w:pPr>
            <w:r>
              <w:rPr>
                <w:rFonts w:ascii="Times New Roman"/>
                <w:szCs w:val="21"/>
              </w:rPr>
              <w:t>年产量</w:t>
            </w:r>
          </w:p>
        </w:tc>
        <w:tc>
          <w:tcPr>
            <w:tcW w:w="2409" w:type="dxa"/>
            <w:vAlign w:val="center"/>
          </w:tcPr>
          <w:p>
            <w:pPr>
              <w:spacing w:line="300" w:lineRule="exact"/>
              <w:jc w:val="center"/>
              <w:rPr>
                <w:rFonts w:ascii="Times New Roman" w:hAnsi="Times New Roman"/>
                <w:szCs w:val="21"/>
              </w:rPr>
            </w:pPr>
            <w:r>
              <w:rPr>
                <w:rFonts w:ascii="Times New Roman"/>
                <w:szCs w:val="21"/>
              </w:rPr>
              <w:t>废物名称</w:t>
            </w:r>
          </w:p>
        </w:tc>
        <w:tc>
          <w:tcPr>
            <w:tcW w:w="1806" w:type="dxa"/>
            <w:vAlign w:val="center"/>
          </w:tcPr>
          <w:p>
            <w:pPr>
              <w:spacing w:line="300" w:lineRule="exact"/>
              <w:jc w:val="center"/>
              <w:rPr>
                <w:rFonts w:ascii="Times New Roman" w:hAnsi="Times New Roman"/>
                <w:szCs w:val="21"/>
              </w:rPr>
            </w:pPr>
            <w:r>
              <w:rPr>
                <w:rFonts w:ascii="Times New Roman"/>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rPr>
            </w:pPr>
            <w:r>
              <w:rPr>
                <w:rFonts w:hint="eastAsia" w:ascii="Times New Roman" w:hAnsi="Times New Roman"/>
              </w:rPr>
              <w:t>不锈钢管</w:t>
            </w:r>
          </w:p>
        </w:tc>
        <w:tc>
          <w:tcPr>
            <w:tcW w:w="2052" w:type="dxa"/>
            <w:vMerge w:val="restart"/>
            <w:vAlign w:val="center"/>
          </w:tcPr>
          <w:p>
            <w:pPr>
              <w:spacing w:line="300" w:lineRule="exact"/>
              <w:jc w:val="center"/>
              <w:rPr>
                <w:rFonts w:ascii="Times New Roman" w:hAnsi="Times New Roman"/>
              </w:rPr>
            </w:pPr>
            <w:r>
              <w:rPr>
                <w:rFonts w:hint="eastAsia" w:ascii="Times New Roman" w:hAnsi="Times New Roman"/>
              </w:rPr>
              <w:t>铁、镍</w:t>
            </w:r>
          </w:p>
        </w:tc>
        <w:tc>
          <w:tcPr>
            <w:tcW w:w="1350" w:type="dxa"/>
            <w:vMerge w:val="restart"/>
            <w:vAlign w:val="center"/>
          </w:tcPr>
          <w:p>
            <w:pPr>
              <w:spacing w:line="300" w:lineRule="exact"/>
              <w:jc w:val="center"/>
              <w:rPr>
                <w:rFonts w:ascii="Times New Roman" w:hAnsi="Times New Roman"/>
              </w:rPr>
            </w:pPr>
            <w:r>
              <w:rPr>
                <w:rFonts w:hint="eastAsia" w:ascii="Times New Roman" w:hAnsi="Times New Roman"/>
              </w:rPr>
              <w:t>3000吨</w:t>
            </w:r>
          </w:p>
        </w:tc>
        <w:tc>
          <w:tcPr>
            <w:tcW w:w="2409" w:type="dxa"/>
            <w:vAlign w:val="center"/>
          </w:tcPr>
          <w:p>
            <w:pPr>
              <w:spacing w:line="300" w:lineRule="exact"/>
              <w:jc w:val="center"/>
              <w:rPr>
                <w:rFonts w:ascii="Times New Roman" w:hAnsi="Times New Roman"/>
              </w:rPr>
            </w:pPr>
            <w:r>
              <w:rPr>
                <w:rFonts w:hint="eastAsia" w:ascii="Times New Roman" w:hAnsi="Times New Roman"/>
              </w:rPr>
              <w:t>污泥</w:t>
            </w:r>
          </w:p>
        </w:tc>
        <w:tc>
          <w:tcPr>
            <w:tcW w:w="1806" w:type="dxa"/>
          </w:tcPr>
          <w:p>
            <w:pPr>
              <w:spacing w:line="300" w:lineRule="exact"/>
              <w:jc w:val="center"/>
              <w:rPr>
                <w:rFonts w:ascii="Times New Roman" w:hAnsi="Times New Roman"/>
              </w:rPr>
            </w:pPr>
            <w:r>
              <w:rPr>
                <w:rFonts w:hint="eastAsia" w:ascii="Times New Roman" w:hAnsi="Times New Roman"/>
              </w:rPr>
              <w:t>600吨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rPr>
            </w:pPr>
          </w:p>
        </w:tc>
        <w:tc>
          <w:tcPr>
            <w:tcW w:w="2052" w:type="dxa"/>
            <w:vMerge w:val="restart"/>
            <w:vAlign w:val="center"/>
          </w:tcPr>
          <w:p>
            <w:pPr>
              <w:spacing w:line="300" w:lineRule="exact"/>
              <w:jc w:val="center"/>
              <w:rPr>
                <w:rFonts w:ascii="Times New Roman" w:hAnsi="Times New Roman"/>
              </w:rPr>
            </w:pPr>
          </w:p>
        </w:tc>
        <w:tc>
          <w:tcPr>
            <w:tcW w:w="1350" w:type="dxa"/>
            <w:vMerge w:val="restart"/>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vAlign w:val="center"/>
          </w:tcPr>
          <w:p>
            <w:pPr>
              <w:spacing w:line="300" w:lineRule="exact"/>
              <w:jc w:val="center"/>
              <w:rPr>
                <w:rFonts w:ascii="Times New Roman" w:hAnsi="Times New Roman"/>
              </w:rPr>
            </w:pPr>
          </w:p>
        </w:tc>
        <w:tc>
          <w:tcPr>
            <w:tcW w:w="2052" w:type="dxa"/>
            <w:vMerge w:val="restart"/>
            <w:vAlign w:val="center"/>
          </w:tcPr>
          <w:p>
            <w:pPr>
              <w:spacing w:line="300" w:lineRule="exact"/>
              <w:jc w:val="center"/>
              <w:rPr>
                <w:rFonts w:ascii="Times New Roman" w:hAnsi="Times New Roman"/>
              </w:rPr>
            </w:pPr>
          </w:p>
        </w:tc>
        <w:tc>
          <w:tcPr>
            <w:tcW w:w="1350" w:type="dxa"/>
            <w:vMerge w:val="restart"/>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vAlign w:val="center"/>
          </w:tcPr>
          <w:p>
            <w:pPr>
              <w:spacing w:line="300" w:lineRule="exact"/>
              <w:jc w:val="center"/>
              <w:rPr>
                <w:rFonts w:ascii="Times New Roman" w:hAnsi="Times New Roman"/>
              </w:rPr>
            </w:pPr>
          </w:p>
        </w:tc>
        <w:tc>
          <w:tcPr>
            <w:tcW w:w="2052" w:type="dxa"/>
            <w:vMerge w:val="continue"/>
            <w:vAlign w:val="center"/>
          </w:tcPr>
          <w:p>
            <w:pPr>
              <w:spacing w:line="300" w:lineRule="exact"/>
              <w:jc w:val="center"/>
              <w:rPr>
                <w:rFonts w:ascii="Times New Roman" w:hAnsi="Times New Roman"/>
              </w:rPr>
            </w:pPr>
          </w:p>
        </w:tc>
        <w:tc>
          <w:tcPr>
            <w:tcW w:w="1350" w:type="dxa"/>
            <w:vMerge w:val="continue"/>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18" w:type="dxa"/>
            <w:vAlign w:val="center"/>
          </w:tcPr>
          <w:p>
            <w:pPr>
              <w:spacing w:line="300" w:lineRule="exact"/>
              <w:rPr>
                <w:rFonts w:ascii="Times New Roman" w:hAnsi="Times New Roman"/>
              </w:rPr>
            </w:pPr>
          </w:p>
        </w:tc>
        <w:tc>
          <w:tcPr>
            <w:tcW w:w="2052" w:type="dxa"/>
            <w:vAlign w:val="center"/>
          </w:tcPr>
          <w:p>
            <w:pPr>
              <w:spacing w:line="300" w:lineRule="exact"/>
              <w:jc w:val="center"/>
              <w:rPr>
                <w:rFonts w:ascii="Times New Roman" w:hAnsi="Times New Roman"/>
              </w:rPr>
            </w:pPr>
          </w:p>
        </w:tc>
        <w:tc>
          <w:tcPr>
            <w:tcW w:w="1350" w:type="dxa"/>
            <w:vAlign w:val="center"/>
          </w:tcPr>
          <w:p>
            <w:pPr>
              <w:spacing w:line="300" w:lineRule="exact"/>
              <w:jc w:val="center"/>
              <w:rPr>
                <w:rFonts w:ascii="Times New Roman" w:hAnsi="Times New Roman"/>
              </w:rPr>
            </w:pPr>
          </w:p>
        </w:tc>
        <w:tc>
          <w:tcPr>
            <w:tcW w:w="2409" w:type="dxa"/>
            <w:vAlign w:val="center"/>
          </w:tcPr>
          <w:p>
            <w:pPr>
              <w:spacing w:line="300" w:lineRule="exact"/>
              <w:jc w:val="center"/>
              <w:rPr>
                <w:rFonts w:ascii="Times New Roman" w:hAnsi="Times New Roman"/>
              </w:rPr>
            </w:pPr>
          </w:p>
        </w:tc>
        <w:tc>
          <w:tcPr>
            <w:tcW w:w="1806" w:type="dxa"/>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vAlign w:val="center"/>
          </w:tcPr>
          <w:p>
            <w:pPr>
              <w:spacing w:line="300" w:lineRule="exact"/>
              <w:rPr>
                <w:rFonts w:ascii="Times New Roman" w:hAnsi="Times New Roman"/>
                <w:sz w:val="24"/>
              </w:rPr>
            </w:pPr>
            <w:r>
              <w:rPr>
                <w:rFonts w:ascii="Times New Roman" w:eastAsia="黑体"/>
                <w:sz w:val="24"/>
              </w:rPr>
              <w:t>表</w:t>
            </w:r>
            <w:r>
              <w:rPr>
                <w:rFonts w:ascii="Times New Roman" w:hAnsi="Times New Roman" w:eastAsia="黑体"/>
                <w:sz w:val="24"/>
              </w:rPr>
              <w:t xml:space="preserve">2 </w:t>
            </w:r>
            <w:r>
              <w:rPr>
                <w:rFonts w:ascii="Times New Roman" w:eastAsia="黑体"/>
                <w:sz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tcPr>
          <w:p>
            <w:pPr>
              <w:spacing w:line="300" w:lineRule="exact"/>
              <w:rPr>
                <w:rFonts w:ascii="Times New Roman" w:hAnsi="Times New Roman"/>
              </w:rPr>
            </w:pPr>
            <w:r>
              <w:rPr>
                <w:rFonts w:ascii="Times New Roman"/>
              </w:rPr>
              <w:t>文字描述及工艺流程图</w:t>
            </w:r>
          </w:p>
          <w:p>
            <w:pPr>
              <w:spacing w:line="300" w:lineRule="exact"/>
            </w:pPr>
          </w:p>
          <w:p>
            <w:pPr>
              <w:spacing w:line="300" w:lineRule="exact"/>
              <w:rPr>
                <w:rFonts w:ascii="Times New Roman" w:hAnsi="Times New Roman"/>
              </w:rPr>
            </w:pPr>
            <w:r>
              <w:rPr>
                <w:rFonts w:ascii="Times New Roman"/>
              </w:rPr>
              <w:pict>
                <v:shape id="对象 2" o:spid="_x0000_s1030" o:spt="75" type="#_x0000_t75" style="position:absolute;left:0pt;margin-left:-5.15pt;margin-top:11.8pt;height:481pt;width:450.8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Word.Picture.8" ShapeID="对象 2" DrawAspect="Content" ObjectID="_1468075725" r:id="rId4">
                  <o:LockedField>false</o:LockedField>
                </o:OLEObject>
              </w:pict>
            </w: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p>
            <w:pPr>
              <w:spacing w:line="300" w:lineRule="exact"/>
              <w:rPr>
                <w:rFonts w:ascii="Times New Roman" w:hAnsi="Times New Roman"/>
              </w:rPr>
            </w:pPr>
          </w:p>
        </w:tc>
      </w:tr>
    </w:tbl>
    <w:p>
      <w:pPr>
        <w:rPr>
          <w:rFonts w:ascii="Times New Roman" w:hAnsi="Times New Roman" w:eastAsia="仿宋_GB2312"/>
          <w:sz w:val="28"/>
        </w:rPr>
      </w:pPr>
    </w:p>
    <w:tbl>
      <w:tblPr>
        <w:tblStyle w:val="8"/>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vAlign w:val="center"/>
          </w:tcPr>
          <w:p>
            <w:pPr>
              <w:rPr>
                <w:rFonts w:ascii="Times New Roman" w:hAnsi="Times New Roman"/>
                <w:sz w:val="24"/>
              </w:rPr>
            </w:pPr>
            <w:r>
              <w:rPr>
                <w:rFonts w:ascii="Times New Roman" w:eastAsia="黑体"/>
                <w:sz w:val="24"/>
              </w:rPr>
              <w:t>表</w:t>
            </w:r>
            <w:r>
              <w:rPr>
                <w:rFonts w:ascii="Times New Roman" w:hAnsi="Times New Roman" w:eastAsia="黑体"/>
                <w:sz w:val="24"/>
              </w:rPr>
              <w:t xml:space="preserve">3   </w:t>
            </w:r>
            <w:r>
              <w:rPr>
                <w:rFonts w:ascii="Times New Roman" w:eastAsia="黑体"/>
                <w:sz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vAlign w:val="center"/>
          </w:tcPr>
          <w:p>
            <w:pPr>
              <w:rPr>
                <w:rFonts w:ascii="Times New Roman" w:hAnsi="Times New Roman"/>
                <w:szCs w:val="21"/>
              </w:rPr>
            </w:pPr>
            <w:r>
              <w:rPr>
                <w:rFonts w:ascii="Times New Roman" w:hAnsi="宋体"/>
                <w:szCs w:val="21"/>
              </w:rPr>
              <w:t>废物名称</w:t>
            </w:r>
          </w:p>
        </w:tc>
        <w:tc>
          <w:tcPr>
            <w:tcW w:w="1769" w:type="dxa"/>
            <w:vAlign w:val="center"/>
          </w:tcPr>
          <w:p>
            <w:pPr>
              <w:rPr>
                <w:rFonts w:ascii="Times New Roman" w:hAnsi="Times New Roman"/>
                <w:szCs w:val="21"/>
              </w:rPr>
            </w:pPr>
            <w:r>
              <w:rPr>
                <w:rFonts w:ascii="Times New Roman" w:hAnsi="宋体"/>
                <w:szCs w:val="21"/>
              </w:rPr>
              <w:t>主要组分</w:t>
            </w:r>
          </w:p>
        </w:tc>
        <w:tc>
          <w:tcPr>
            <w:tcW w:w="1680" w:type="dxa"/>
            <w:vAlign w:val="center"/>
          </w:tcPr>
          <w:p>
            <w:pPr>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vAlign w:val="center"/>
          </w:tcPr>
          <w:p>
            <w:pPr>
              <w:rPr>
                <w:rFonts w:ascii="Times New Roman" w:hAnsi="Times New Roman"/>
                <w:szCs w:val="21"/>
              </w:rPr>
            </w:pPr>
            <w:r>
              <w:rPr>
                <w:rFonts w:ascii="Times New Roman" w:hAnsi="宋体"/>
                <w:szCs w:val="21"/>
              </w:rPr>
              <w:t>危害特性</w:t>
            </w:r>
          </w:p>
        </w:tc>
        <w:tc>
          <w:tcPr>
            <w:tcW w:w="1680" w:type="dxa"/>
            <w:vAlign w:val="center"/>
          </w:tcPr>
          <w:p>
            <w:pPr>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tcPr>
          <w:p>
            <w:pPr>
              <w:rPr>
                <w:rFonts w:ascii="Times New Roman" w:hAnsi="Times New Roman"/>
                <w:szCs w:val="21"/>
              </w:rPr>
            </w:pPr>
            <w:r>
              <w:rPr>
                <w:rFonts w:hint="eastAsia" w:ascii="Times New Roman" w:hAnsi="Times New Roman"/>
                <w:szCs w:val="21"/>
              </w:rPr>
              <w:t>污泥</w:t>
            </w:r>
          </w:p>
        </w:tc>
        <w:tc>
          <w:tcPr>
            <w:tcW w:w="1769" w:type="dxa"/>
          </w:tcPr>
          <w:p>
            <w:pPr>
              <w:rPr>
                <w:rFonts w:ascii="Times New Roman" w:hAnsi="Times New Roman"/>
                <w:szCs w:val="21"/>
              </w:rPr>
            </w:pPr>
            <w:r>
              <w:rPr>
                <w:rFonts w:hint="eastAsia" w:ascii="Times New Roman" w:hAnsi="Times New Roman"/>
                <w:szCs w:val="21"/>
              </w:rPr>
              <w:t>镍</w:t>
            </w:r>
          </w:p>
        </w:tc>
        <w:tc>
          <w:tcPr>
            <w:tcW w:w="1680" w:type="dxa"/>
          </w:tcPr>
          <w:p>
            <w:pPr>
              <w:rPr>
                <w:rFonts w:ascii="Times New Roman" w:hAnsi="Times New Roman"/>
                <w:szCs w:val="21"/>
              </w:rPr>
            </w:pPr>
            <w:r>
              <w:rPr>
                <w:rFonts w:hint="eastAsia" w:ascii="Times New Roman" w:hAnsi="Times New Roman"/>
                <w:szCs w:val="21"/>
              </w:rPr>
              <w:t>0.8</w:t>
            </w:r>
          </w:p>
        </w:tc>
        <w:tc>
          <w:tcPr>
            <w:tcW w:w="2205" w:type="dxa"/>
            <w:vMerge w:val="restart"/>
            <w:vAlign w:val="center"/>
          </w:tcPr>
          <w:p>
            <w:pPr>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rPr>
                <w:rFonts w:ascii="宋体" w:hAnsi="宋体" w:cs="宋体"/>
                <w:szCs w:val="21"/>
              </w:rPr>
            </w:pPr>
            <w:r>
              <w:rPr>
                <w:rFonts w:ascii="Times New Roman" w:hAnsi="宋体"/>
                <w:szCs w:val="21"/>
              </w:rPr>
              <w:t>毒性</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w:t>
            </w:r>
            <w:r>
              <w:rPr>
                <w:rFonts w:hint="eastAsia" w:ascii="宋体" w:hAnsi="宋体" w:cs="宋体"/>
                <w:sz w:val="15"/>
                <w:szCs w:val="15"/>
              </w:rPr>
              <w:t>▉</w:t>
            </w:r>
          </w:p>
          <w:p>
            <w:pPr>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vAlign w:val="center"/>
          </w:tcPr>
          <w:p>
            <w:pPr>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hint="eastAsia" w:ascii="Times New Roman" w:hAnsi="Times New Roman"/>
                <w:szCs w:val="21"/>
              </w:rPr>
              <w:t xml:space="preserve"> </w:t>
            </w:r>
            <w:r>
              <w:rPr>
                <w:rFonts w:hint="eastAsia" w:ascii="宋体" w:hAnsi="宋体" w:cs="宋体"/>
                <w:sz w:val="15"/>
                <w:szCs w:val="15"/>
              </w:rPr>
              <w:t>▉</w:t>
            </w:r>
          </w:p>
          <w:p>
            <w:pPr>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rFonts w:ascii="Times New Roman" w:hAnsi="Times New Roman"/>
                <w:szCs w:val="21"/>
              </w:rPr>
            </w:pPr>
          </w:p>
        </w:tc>
        <w:tc>
          <w:tcPr>
            <w:tcW w:w="1769" w:type="dxa"/>
          </w:tcPr>
          <w:p>
            <w:pPr>
              <w:rPr>
                <w:rFonts w:ascii="Times New Roman" w:hAnsi="Times New Roman"/>
                <w:szCs w:val="21"/>
              </w:rPr>
            </w:pPr>
          </w:p>
        </w:tc>
        <w:tc>
          <w:tcPr>
            <w:tcW w:w="1680" w:type="dxa"/>
          </w:tcPr>
          <w:p>
            <w:pPr>
              <w:rPr>
                <w:rFonts w:ascii="Times New Roman" w:hAnsi="Times New Roman"/>
                <w:szCs w:val="21"/>
              </w:rPr>
            </w:pPr>
          </w:p>
        </w:tc>
        <w:tc>
          <w:tcPr>
            <w:tcW w:w="2205" w:type="dxa"/>
            <w:vMerge w:val="continue"/>
            <w:vAlign w:val="center"/>
          </w:tcPr>
          <w:p>
            <w:pPr>
              <w:rPr>
                <w:rFonts w:ascii="Times New Roman" w:hAnsi="Times New Roman"/>
                <w:szCs w:val="21"/>
              </w:rPr>
            </w:pPr>
          </w:p>
        </w:tc>
        <w:tc>
          <w:tcPr>
            <w:tcW w:w="168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rFonts w:ascii="Times New Roman" w:hAnsi="Times New Roman"/>
                <w:szCs w:val="21"/>
              </w:rPr>
            </w:pPr>
          </w:p>
        </w:tc>
        <w:tc>
          <w:tcPr>
            <w:tcW w:w="1769" w:type="dxa"/>
          </w:tcPr>
          <w:p>
            <w:pPr>
              <w:rPr>
                <w:rFonts w:ascii="Times New Roman" w:hAnsi="Times New Roman"/>
                <w:szCs w:val="21"/>
              </w:rPr>
            </w:pPr>
          </w:p>
        </w:tc>
        <w:tc>
          <w:tcPr>
            <w:tcW w:w="1680" w:type="dxa"/>
          </w:tcPr>
          <w:p>
            <w:pPr>
              <w:rPr>
                <w:rFonts w:ascii="Times New Roman" w:hAnsi="Times New Roman"/>
                <w:szCs w:val="21"/>
              </w:rPr>
            </w:pPr>
          </w:p>
        </w:tc>
        <w:tc>
          <w:tcPr>
            <w:tcW w:w="2205" w:type="dxa"/>
            <w:vMerge w:val="continue"/>
            <w:vAlign w:val="center"/>
          </w:tcPr>
          <w:p>
            <w:pPr>
              <w:rPr>
                <w:rFonts w:ascii="Times New Roman" w:hAnsi="Times New Roman"/>
                <w:szCs w:val="21"/>
              </w:rPr>
            </w:pPr>
          </w:p>
        </w:tc>
        <w:tc>
          <w:tcPr>
            <w:tcW w:w="168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rFonts w:ascii="Times New Roman" w:hAnsi="Times New Roman"/>
                <w:szCs w:val="21"/>
              </w:rPr>
            </w:pPr>
          </w:p>
        </w:tc>
        <w:tc>
          <w:tcPr>
            <w:tcW w:w="1769" w:type="dxa"/>
          </w:tcPr>
          <w:p>
            <w:pPr>
              <w:rPr>
                <w:rFonts w:ascii="Times New Roman" w:hAnsi="Times New Roman"/>
                <w:szCs w:val="21"/>
              </w:rPr>
            </w:pPr>
          </w:p>
        </w:tc>
        <w:tc>
          <w:tcPr>
            <w:tcW w:w="1680" w:type="dxa"/>
          </w:tcPr>
          <w:p>
            <w:pPr>
              <w:rPr>
                <w:rFonts w:ascii="Times New Roman" w:hAnsi="Times New Roman"/>
                <w:szCs w:val="21"/>
              </w:rPr>
            </w:pPr>
          </w:p>
        </w:tc>
        <w:tc>
          <w:tcPr>
            <w:tcW w:w="2205" w:type="dxa"/>
            <w:vMerge w:val="continue"/>
            <w:vAlign w:val="center"/>
          </w:tcPr>
          <w:p>
            <w:pPr>
              <w:rPr>
                <w:rFonts w:ascii="Times New Roman" w:hAnsi="Times New Roman"/>
                <w:szCs w:val="21"/>
              </w:rPr>
            </w:pPr>
          </w:p>
        </w:tc>
        <w:tc>
          <w:tcPr>
            <w:tcW w:w="1680" w:type="dxa"/>
            <w:vMerge w:val="continue"/>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tcPr>
          <w:p>
            <w:pPr>
              <w:rPr>
                <w:rFonts w:ascii="Times New Roman" w:hAnsi="Times New Roman"/>
                <w:szCs w:val="21"/>
              </w:rPr>
            </w:pPr>
          </w:p>
        </w:tc>
        <w:tc>
          <w:tcPr>
            <w:tcW w:w="1769" w:type="dxa"/>
          </w:tcPr>
          <w:p>
            <w:pPr>
              <w:rPr>
                <w:rFonts w:ascii="Times New Roman" w:hAnsi="Times New Roman"/>
                <w:szCs w:val="21"/>
              </w:rPr>
            </w:pPr>
          </w:p>
        </w:tc>
        <w:tc>
          <w:tcPr>
            <w:tcW w:w="1680" w:type="dxa"/>
          </w:tcPr>
          <w:p>
            <w:pPr>
              <w:rPr>
                <w:rFonts w:ascii="Times New Roman" w:hAnsi="Times New Roman"/>
                <w:szCs w:val="21"/>
              </w:rPr>
            </w:pPr>
          </w:p>
        </w:tc>
        <w:tc>
          <w:tcPr>
            <w:tcW w:w="2205" w:type="dxa"/>
            <w:vMerge w:val="continue"/>
            <w:vAlign w:val="center"/>
          </w:tcPr>
          <w:p>
            <w:pPr>
              <w:rPr>
                <w:rFonts w:ascii="Times New Roman" w:hAnsi="Times New Roman"/>
                <w:szCs w:val="21"/>
              </w:rPr>
            </w:pPr>
          </w:p>
        </w:tc>
        <w:tc>
          <w:tcPr>
            <w:tcW w:w="1680" w:type="dxa"/>
            <w:vMerge w:val="continue"/>
            <w:vAlign w:val="center"/>
          </w:tcPr>
          <w:p>
            <w:pPr>
              <w:rPr>
                <w:rFonts w:ascii="Times New Roman" w:hAnsi="Times New Roman"/>
                <w:szCs w:val="21"/>
              </w:rPr>
            </w:pPr>
          </w:p>
        </w:tc>
      </w:tr>
    </w:tbl>
    <w:p>
      <w:pPr>
        <w:rPr>
          <w:rFonts w:ascii="Times New Roman" w:eastAsia="黑体"/>
          <w:sz w:val="28"/>
          <w:szCs w:val="28"/>
        </w:rPr>
      </w:pPr>
    </w:p>
    <w:p>
      <w:pPr>
        <w:rPr>
          <w:rFonts w:ascii="Times New Roman" w:hAnsi="Times New Roman" w:eastAsia="黑体"/>
          <w:sz w:val="28"/>
          <w:szCs w:val="28"/>
        </w:rPr>
      </w:pPr>
      <w:r>
        <w:rPr>
          <w:rFonts w:ascii="Times New Roman" w:eastAsia="黑体"/>
          <w:sz w:val="28"/>
          <w:szCs w:val="28"/>
        </w:rPr>
        <w:t>第二部分：废物包装、运输情况</w:t>
      </w:r>
    </w:p>
    <w:tbl>
      <w:tblPr>
        <w:tblStyle w:val="8"/>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00"/>
        <w:gridCol w:w="2154"/>
        <w:gridCol w:w="1200"/>
        <w:gridCol w:w="1002"/>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vAlign w:val="center"/>
          </w:tcPr>
          <w:p>
            <w:pPr>
              <w:rPr>
                <w:rFonts w:ascii="Times New Roman" w:hAnsi="Times New Roman"/>
                <w:b/>
                <w:bCs/>
              </w:rPr>
            </w:pPr>
            <w:r>
              <w:rPr>
                <w:rFonts w:ascii="Times New Roman"/>
                <w:b/>
                <w:bCs/>
              </w:rPr>
              <w:t>表</w:t>
            </w:r>
            <w:r>
              <w:rPr>
                <w:rFonts w:ascii="Times New Roman" w:hAnsi="Times New Roman"/>
                <w:b/>
                <w:bCs/>
              </w:rPr>
              <w:t xml:space="preserve">1   </w:t>
            </w:r>
            <w:r>
              <w:rPr>
                <w:rFonts w:ascii="Times New Roman"/>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8" w:type="dxa"/>
            <w:vAlign w:val="center"/>
          </w:tcPr>
          <w:p>
            <w:pPr>
              <w:jc w:val="center"/>
              <w:rPr>
                <w:rFonts w:ascii="Times New Roman" w:hAnsi="Times New Roman"/>
              </w:rPr>
            </w:pPr>
            <w:r>
              <w:rPr>
                <w:rFonts w:ascii="Times New Roman"/>
              </w:rPr>
              <w:t>序号</w:t>
            </w:r>
          </w:p>
        </w:tc>
        <w:tc>
          <w:tcPr>
            <w:tcW w:w="2400" w:type="dxa"/>
            <w:vAlign w:val="center"/>
          </w:tcPr>
          <w:p>
            <w:pPr>
              <w:jc w:val="center"/>
              <w:rPr>
                <w:rFonts w:ascii="Times New Roman" w:hAnsi="Times New Roman"/>
              </w:rPr>
            </w:pPr>
            <w:r>
              <w:rPr>
                <w:rFonts w:ascii="Times New Roman"/>
              </w:rPr>
              <w:t>废物名称</w:t>
            </w:r>
          </w:p>
        </w:tc>
        <w:tc>
          <w:tcPr>
            <w:tcW w:w="2154" w:type="dxa"/>
            <w:vAlign w:val="center"/>
          </w:tcPr>
          <w:p>
            <w:pPr>
              <w:jc w:val="center"/>
              <w:rPr>
                <w:rFonts w:ascii="Times New Roman" w:hAnsi="Times New Roman"/>
              </w:rPr>
            </w:pPr>
            <w:r>
              <w:rPr>
                <w:rFonts w:ascii="Times New Roman"/>
              </w:rPr>
              <w:t>包装物（容器）名称</w:t>
            </w:r>
          </w:p>
        </w:tc>
        <w:tc>
          <w:tcPr>
            <w:tcW w:w="1200" w:type="dxa"/>
            <w:vAlign w:val="center"/>
          </w:tcPr>
          <w:p>
            <w:pPr>
              <w:jc w:val="center"/>
              <w:rPr>
                <w:rFonts w:ascii="Times New Roman" w:hAnsi="Times New Roman"/>
              </w:rPr>
            </w:pPr>
            <w:r>
              <w:rPr>
                <w:rFonts w:ascii="Times New Roman"/>
              </w:rPr>
              <w:t>材质</w:t>
            </w:r>
          </w:p>
        </w:tc>
        <w:tc>
          <w:tcPr>
            <w:tcW w:w="1002" w:type="dxa"/>
            <w:vAlign w:val="center"/>
          </w:tcPr>
          <w:p>
            <w:pPr>
              <w:jc w:val="center"/>
              <w:rPr>
                <w:rFonts w:ascii="Times New Roman" w:hAnsi="Times New Roman"/>
              </w:rPr>
            </w:pPr>
            <w:r>
              <w:rPr>
                <w:rFonts w:ascii="Times New Roman"/>
              </w:rPr>
              <w:t>容积</w:t>
            </w:r>
          </w:p>
        </w:tc>
        <w:tc>
          <w:tcPr>
            <w:tcW w:w="1716" w:type="dxa"/>
            <w:vAlign w:val="center"/>
          </w:tcPr>
          <w:p>
            <w:pPr>
              <w:jc w:val="center"/>
              <w:rPr>
                <w:rFonts w:ascii="Times New Roman" w:hAnsi="Times New Roman"/>
              </w:rPr>
            </w:pPr>
            <w:r>
              <w:rPr>
                <w:rFonts w:ascii="Times New Roman"/>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8" w:type="dxa"/>
            <w:vAlign w:val="center"/>
          </w:tcPr>
          <w:p>
            <w:pPr>
              <w:jc w:val="center"/>
              <w:rPr>
                <w:rFonts w:ascii="Times New Roman" w:hAnsi="Times New Roman"/>
              </w:rPr>
            </w:pPr>
            <w:r>
              <w:rPr>
                <w:rFonts w:hint="eastAsia" w:ascii="Times New Roman" w:hAnsi="Times New Roman"/>
              </w:rPr>
              <w:t>1</w:t>
            </w:r>
          </w:p>
        </w:tc>
        <w:tc>
          <w:tcPr>
            <w:tcW w:w="2400" w:type="dxa"/>
            <w:vAlign w:val="center"/>
          </w:tcPr>
          <w:p>
            <w:pPr>
              <w:jc w:val="center"/>
              <w:rPr>
                <w:rFonts w:ascii="Times New Roman" w:hAnsi="Times New Roman"/>
              </w:rPr>
            </w:pPr>
            <w:r>
              <w:rPr>
                <w:rFonts w:hint="eastAsia" w:ascii="Times New Roman" w:hAnsi="宋体"/>
                <w:szCs w:val="21"/>
              </w:rPr>
              <w:t>污泥</w:t>
            </w:r>
          </w:p>
        </w:tc>
        <w:tc>
          <w:tcPr>
            <w:tcW w:w="2154" w:type="dxa"/>
            <w:vAlign w:val="center"/>
          </w:tcPr>
          <w:p>
            <w:pPr>
              <w:jc w:val="center"/>
              <w:rPr>
                <w:rFonts w:ascii="Times New Roman" w:hAnsi="Times New Roman"/>
              </w:rPr>
            </w:pPr>
            <w:r>
              <w:rPr>
                <w:rFonts w:hint="eastAsia" w:ascii="Times New Roman" w:hAnsi="Times New Roman"/>
              </w:rPr>
              <w:t>吨袋</w:t>
            </w:r>
          </w:p>
        </w:tc>
        <w:tc>
          <w:tcPr>
            <w:tcW w:w="1200" w:type="dxa"/>
            <w:vAlign w:val="center"/>
          </w:tcPr>
          <w:p>
            <w:pPr>
              <w:jc w:val="center"/>
              <w:rPr>
                <w:rFonts w:ascii="Times New Roman" w:hAnsi="Times New Roman"/>
              </w:rPr>
            </w:pPr>
            <w:r>
              <w:rPr>
                <w:rFonts w:hint="eastAsia" w:ascii="Times New Roman" w:hAnsi="Times New Roman"/>
              </w:rPr>
              <w:t>蛇皮布</w:t>
            </w:r>
          </w:p>
        </w:tc>
        <w:tc>
          <w:tcPr>
            <w:tcW w:w="1002" w:type="dxa"/>
            <w:vAlign w:val="center"/>
          </w:tcPr>
          <w:p>
            <w:pPr>
              <w:jc w:val="center"/>
              <w:rPr>
                <w:rFonts w:ascii="Times New Roman" w:hAnsi="Times New Roman"/>
              </w:rPr>
            </w:pPr>
            <w:r>
              <w:rPr>
                <w:rFonts w:hint="eastAsia" w:ascii="Times New Roman" w:hAnsi="Times New Roman"/>
              </w:rPr>
              <w:t>1.3吨</w:t>
            </w:r>
          </w:p>
        </w:tc>
        <w:tc>
          <w:tcPr>
            <w:tcW w:w="1716" w:type="dxa"/>
            <w:vAlign w:val="center"/>
          </w:tcPr>
          <w:p>
            <w:pPr>
              <w:jc w:val="center"/>
              <w:rPr>
                <w:rFonts w:ascii="Times New Roman" w:hAnsi="Times New Roman"/>
              </w:rPr>
            </w:pPr>
            <w:r>
              <w:rPr>
                <w:rFonts w:hint="eastAsia" w:ascii="Times New Roman" w:hAnsi="Times New Roma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68" w:type="dxa"/>
          </w:tcPr>
          <w:p>
            <w:pPr>
              <w:rPr>
                <w:rFonts w:ascii="Times New Roman" w:hAnsi="Times New Roman"/>
              </w:rPr>
            </w:pPr>
          </w:p>
        </w:tc>
        <w:tc>
          <w:tcPr>
            <w:tcW w:w="2400" w:type="dxa"/>
          </w:tcPr>
          <w:p>
            <w:pPr>
              <w:rPr>
                <w:rFonts w:ascii="Times New Roman" w:hAnsi="Times New Roman"/>
              </w:rPr>
            </w:pPr>
          </w:p>
        </w:tc>
        <w:tc>
          <w:tcPr>
            <w:tcW w:w="2154" w:type="dxa"/>
          </w:tcPr>
          <w:p>
            <w:pPr>
              <w:rPr>
                <w:rFonts w:ascii="Times New Roman" w:hAnsi="Times New Roman"/>
              </w:rPr>
            </w:pPr>
          </w:p>
        </w:tc>
        <w:tc>
          <w:tcPr>
            <w:tcW w:w="1200" w:type="dxa"/>
          </w:tcPr>
          <w:p>
            <w:pPr>
              <w:rPr>
                <w:rFonts w:ascii="Times New Roman" w:hAnsi="Times New Roman"/>
              </w:rPr>
            </w:pPr>
          </w:p>
        </w:tc>
        <w:tc>
          <w:tcPr>
            <w:tcW w:w="1002" w:type="dxa"/>
          </w:tcPr>
          <w:p>
            <w:pPr>
              <w:rPr>
                <w:rFonts w:ascii="Times New Roman" w:hAnsi="Times New Roman"/>
              </w:rPr>
            </w:pPr>
          </w:p>
        </w:tc>
        <w:tc>
          <w:tcPr>
            <w:tcW w:w="1716" w:type="dxa"/>
          </w:tcPr>
          <w:p>
            <w:pPr>
              <w:rPr>
                <w:rFonts w:ascii="Times New Roman" w:hAnsi="Times New Roman"/>
              </w:rPr>
            </w:pPr>
          </w:p>
        </w:tc>
      </w:tr>
    </w:tbl>
    <w:p>
      <w:pPr>
        <w:rPr>
          <w:rFonts w:ascii="Times New Roman" w:hAnsi="Times New Roman" w:eastAsia="黑体"/>
          <w:sz w:val="28"/>
          <w:szCs w:val="28"/>
        </w:rPr>
      </w:pPr>
    </w:p>
    <w:tbl>
      <w:tblPr>
        <w:tblStyle w:val="8"/>
        <w:tblW w:w="924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9240" w:type="dxa"/>
          </w:tcPr>
          <w:p>
            <w:pPr>
              <w:spacing w:line="360" w:lineRule="auto"/>
              <w:rPr>
                <w:rFonts w:ascii="Times New Roman" w:hAnsi="Times New Roman"/>
              </w:rPr>
            </w:pPr>
            <w:r>
              <w:rPr>
                <w:rFonts w:ascii="Times New Roman"/>
              </w:rPr>
              <w:t>运输是否符合交管部门运输相关规定（文字描述）</w:t>
            </w:r>
          </w:p>
          <w:p>
            <w:pPr>
              <w:spacing w:line="360" w:lineRule="auto"/>
              <w:ind w:firstLine="420" w:firstLineChars="200"/>
              <w:rPr>
                <w:rFonts w:ascii="Times New Roman" w:hAnsi="Times New Roman"/>
              </w:rPr>
            </w:pPr>
            <w:r>
              <w:rPr>
                <w:rFonts w:hint="eastAsia"/>
                <w:lang w:val="en-US" w:eastAsia="zh-CN"/>
              </w:rPr>
              <w:t>内蒙古青云物流有限公司</w:t>
            </w:r>
            <w:r>
              <w:rPr>
                <w:rFonts w:hint="eastAsia"/>
              </w:rPr>
              <w:t>具备危险货物运输资质，道路经营许可证号：</w:t>
            </w:r>
            <w:r>
              <w:rPr>
                <w:rFonts w:hint="eastAsia"/>
                <w:lang w:val="en-US" w:eastAsia="zh-CN"/>
              </w:rPr>
              <w:t>150926103393</w:t>
            </w:r>
            <w:r>
              <w:rPr>
                <w:rFonts w:hint="eastAsia"/>
              </w:rPr>
              <w:t>；根据相关法律法规之规定，采用专业危险品运输车辆专车专运，配齐拥有专业资质的从业人员，依法依规操作，并具备相关应急处置能力。完全符合交运部门的运输规定。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vAlign w:val="center"/>
          </w:tcPr>
          <w:p>
            <w:pPr>
              <w:spacing w:line="360" w:lineRule="auto"/>
              <w:rPr>
                <w:rFonts w:ascii="Times New Roman" w:hAnsi="Times New Roman"/>
              </w:rPr>
            </w:pPr>
            <w:r>
              <w:rPr>
                <w:rFonts w:ascii="Times New Roman"/>
              </w:rPr>
              <w:t>运输方式：</w:t>
            </w:r>
            <w:r>
              <w:rPr>
                <w:rFonts w:ascii="Times New Roman" w:hAnsi="Times New Roman"/>
              </w:rPr>
              <w:t xml:space="preserve">   </w:t>
            </w:r>
            <w:r>
              <w:rPr>
                <w:rFonts w:ascii="Times New Roman"/>
              </w:rPr>
              <w:t>道路</w:t>
            </w:r>
            <w:r>
              <w:rPr>
                <w:rFonts w:ascii="Times New Roman" w:hAnsi="Times New Roman"/>
              </w:rPr>
              <w:t xml:space="preserve"> </w:t>
            </w:r>
            <w:r>
              <w:rPr>
                <w:rFonts w:ascii="Times New Roman" w:hAnsi="Times New Roman"/>
              </w:rPr>
              <w:sym w:font="Wingdings" w:char="00FE"/>
            </w:r>
            <w:r>
              <w:rPr>
                <w:rFonts w:ascii="Times New Roman" w:hAnsi="Times New Roman"/>
              </w:rPr>
              <w:t xml:space="preserve">        </w:t>
            </w:r>
            <w:r>
              <w:rPr>
                <w:rFonts w:ascii="Times New Roman" w:hAnsi="宋体"/>
              </w:rPr>
              <w:t>铁路</w:t>
            </w:r>
            <w:r>
              <w:rPr>
                <w:rFonts w:ascii="Times New Roman" w:hAnsi="Times New Roman"/>
              </w:rPr>
              <w:sym w:font="Wingdings" w:char="00A8"/>
            </w:r>
            <w:r>
              <w:rPr>
                <w:rFonts w:ascii="Times New Roman" w:hAnsi="Times New Roman"/>
              </w:rPr>
              <w:t xml:space="preserve">    </w:t>
            </w:r>
            <w:r>
              <w:rPr>
                <w:rFonts w:ascii="Times New Roman" w:hAnsi="宋体"/>
              </w:rPr>
              <w:t>水路</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9" w:hRule="atLeast"/>
        </w:trPr>
        <w:tc>
          <w:tcPr>
            <w:tcW w:w="9240" w:type="dxa"/>
          </w:tcPr>
          <w:p>
            <w:pPr>
              <w:spacing w:line="360" w:lineRule="auto"/>
              <w:rPr>
                <w:rFonts w:ascii="Times New Roman"/>
              </w:rPr>
            </w:pPr>
            <w:r>
              <w:rPr>
                <w:rFonts w:ascii="Times New Roman"/>
              </w:rPr>
              <w:t>运输路线文字描述：（写明途经省、市、县（区），附路线图）</w:t>
            </w:r>
          </w:p>
          <w:p>
            <w:pPr>
              <w:adjustRightInd w:val="0"/>
              <w:snapToGrid w:val="0"/>
              <w:spacing w:line="360" w:lineRule="auto"/>
              <w:rPr>
                <w:b/>
                <w:sz w:val="24"/>
              </w:rPr>
            </w:pPr>
            <w:r>
              <w:rPr>
                <w:rFonts w:hint="eastAsia"/>
                <w:b/>
                <w:sz w:val="24"/>
              </w:rPr>
              <w:t>公路运输</w:t>
            </w:r>
          </w:p>
          <w:p>
            <w:pPr>
              <w:pStyle w:val="2"/>
              <w:shd w:val="clear" w:color="auto" w:fill="FFFFFF"/>
              <w:spacing w:before="0" w:beforeAutospacing="0" w:after="75" w:afterAutospacing="0"/>
              <w:rPr>
                <w:rFonts w:ascii="Calibri" w:hAnsi="Calibri" w:cs="黑体"/>
                <w:b w:val="0"/>
                <w:bCs w:val="0"/>
                <w:kern w:val="2"/>
                <w:sz w:val="24"/>
                <w:szCs w:val="24"/>
              </w:rPr>
            </w:pPr>
            <w:r>
              <w:rPr>
                <w:rFonts w:hint="eastAsia" w:ascii="Calibri" w:hAnsi="Calibri" w:cs="黑体"/>
                <w:b w:val="0"/>
                <w:bCs w:val="0"/>
                <w:kern w:val="2"/>
                <w:sz w:val="24"/>
                <w:szCs w:val="24"/>
              </w:rPr>
              <w:t xml:space="preserve">起运起点：常州腾飞特材科技有限公司 </w:t>
            </w:r>
          </w:p>
          <w:p>
            <w:pPr>
              <w:pStyle w:val="2"/>
              <w:shd w:val="clear" w:color="auto" w:fill="FFFFFF"/>
              <w:spacing w:before="0" w:beforeAutospacing="0" w:after="75" w:afterAutospacing="0"/>
              <w:rPr>
                <w:rFonts w:ascii="Calibri" w:hAnsi="Calibri" w:cs="黑体"/>
                <w:b w:val="0"/>
                <w:bCs w:val="0"/>
                <w:kern w:val="2"/>
                <w:sz w:val="24"/>
                <w:szCs w:val="24"/>
              </w:rPr>
            </w:pPr>
            <w:r>
              <w:rPr>
                <w:rFonts w:hint="eastAsia" w:ascii="Calibri" w:hAnsi="Calibri" w:cs="黑体"/>
                <w:b w:val="0"/>
                <w:bCs w:val="0"/>
                <w:kern w:val="2"/>
                <w:sz w:val="24"/>
                <w:szCs w:val="24"/>
              </w:rPr>
              <w:t>到达地：内蒙古辰东循环利用科技有限公司厂内</w:t>
            </w:r>
          </w:p>
          <w:p/>
          <w:p>
            <w:r>
              <w:drawing>
                <wp:inline distT="0" distB="0" distL="0" distR="0">
                  <wp:extent cx="5791200" cy="5124450"/>
                  <wp:effectExtent l="19050" t="0" r="0" b="0"/>
                  <wp:docPr id="3" name="图片 2" descr="C:\Users\Administrator\Desktop\微信图片_20211215093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微信图片_20211215093147.png"/>
                          <pic:cNvPicPr>
                            <a:picLocks noChangeAspect="1" noChangeArrowheads="1"/>
                          </pic:cNvPicPr>
                        </pic:nvPicPr>
                        <pic:blipFill>
                          <a:blip r:embed="rId6" cstate="print"/>
                          <a:srcRect/>
                          <a:stretch>
                            <a:fillRect/>
                          </a:stretch>
                        </pic:blipFill>
                        <pic:spPr>
                          <a:xfrm>
                            <a:off x="0" y="0"/>
                            <a:ext cx="5791200" cy="5124450"/>
                          </a:xfrm>
                          <a:prstGeom prst="rect">
                            <a:avLst/>
                          </a:prstGeom>
                          <a:noFill/>
                          <a:ln w="9525">
                            <a:noFill/>
                            <a:miter lim="800000"/>
                            <a:headEnd/>
                            <a:tailEnd/>
                          </a:ln>
                        </pic:spPr>
                      </pic:pic>
                    </a:graphicData>
                  </a:graphic>
                </wp:inline>
              </w:drawing>
            </w:r>
          </w:p>
          <w:p>
            <w:pPr>
              <w:spacing w:line="360" w:lineRule="auto"/>
            </w:pPr>
          </w:p>
          <w:p>
            <w:pPr>
              <w:adjustRightInd w:val="0"/>
              <w:snapToGrid w:val="0"/>
              <w:spacing w:line="360" w:lineRule="auto"/>
              <w:rPr>
                <w:sz w:val="24"/>
              </w:rPr>
            </w:pPr>
            <w:r>
              <w:rPr>
                <w:rFonts w:hint="eastAsia"/>
                <w:sz w:val="24"/>
              </w:rPr>
              <w:t>路线：常州腾飞特材科技有限公司—镇南路—工业大道—福阳路—青洋北路—沪蓉高速—江宜高速—京沪高速—泰新高速—济南绕城高速—滨德高速—衡德高速—大广高速—沧榆高速—京昆高速—首都环线高速—京新高速—兴巴高速—土贵乌拉东互通—X581 —内蒙古辰东循环利用科技有限公司</w:t>
            </w:r>
          </w:p>
          <w:p>
            <w:pPr>
              <w:adjustRightInd w:val="0"/>
              <w:snapToGrid w:val="0"/>
              <w:spacing w:line="360" w:lineRule="auto"/>
              <w:rPr>
                <w:sz w:val="24"/>
              </w:rPr>
            </w:pPr>
          </w:p>
          <w:p>
            <w:pPr>
              <w:adjustRightInd w:val="0"/>
              <w:snapToGrid w:val="0"/>
              <w:spacing w:line="360" w:lineRule="auto"/>
            </w:pPr>
            <w:r>
              <w:rPr>
                <w:rFonts w:hint="eastAsia"/>
                <w:sz w:val="24"/>
              </w:rPr>
              <w:t>途径：盐城、淮安、临沂、济南、德州、衡水、保定、乌兰察布。</w:t>
            </w:r>
          </w:p>
        </w:tc>
      </w:tr>
    </w:tbl>
    <w:p>
      <w:pPr>
        <w:rPr>
          <w:rFonts w:ascii="Times New Roman"/>
          <w:b/>
          <w:bCs/>
          <w:sz w:val="24"/>
          <w:szCs w:val="32"/>
        </w:rPr>
      </w:pPr>
    </w:p>
    <w:tbl>
      <w:tblPr>
        <w:tblStyle w:val="8"/>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vAlign w:val="center"/>
          </w:tcPr>
          <w:p>
            <w:pPr>
              <w:jc w:val="left"/>
              <w:rPr>
                <w:rFonts w:ascii="Times New Roman" w:hAnsi="Times New Roman"/>
                <w:b/>
                <w:bCs/>
              </w:rPr>
            </w:pPr>
            <w:r>
              <w:rPr>
                <w:rFonts w:ascii="Times New Roman"/>
                <w:b/>
                <w:bCs/>
              </w:rPr>
              <w:t>表</w:t>
            </w:r>
            <w:r>
              <w:rPr>
                <w:rFonts w:ascii="Times New Roman" w:hAnsi="Times New Roman"/>
                <w:b/>
                <w:bCs/>
              </w:rPr>
              <w:t xml:space="preserve">3  </w:t>
            </w:r>
            <w:r>
              <w:rPr>
                <w:rFonts w:ascii="Times New Roman"/>
                <w:b/>
                <w:bCs/>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tcPr>
          <w:p>
            <w:pPr>
              <w:numPr>
                <w:ilvl w:val="0"/>
                <w:numId w:val="1"/>
              </w:numPr>
              <w:rPr>
                <w:rFonts w:ascii="Times New Roman" w:hAnsi="Times New Roman"/>
                <w:bCs/>
              </w:rPr>
            </w:pPr>
            <w:r>
              <w:rPr>
                <w:rFonts w:ascii="Times New Roman"/>
                <w:bCs/>
              </w:rPr>
              <w:t>运输过程中的污染防治措施以及按照要求配备的相应污染防治设备</w:t>
            </w:r>
          </w:p>
          <w:p>
            <w:pPr>
              <w:ind w:firstLine="420" w:firstLineChars="200"/>
              <w:rPr>
                <w:rFonts w:ascii="宋体" w:hAnsi="宋体" w:cs="宋体"/>
                <w:szCs w:val="21"/>
              </w:rPr>
            </w:pPr>
            <w:r>
              <w:rPr>
                <w:rFonts w:hint="eastAsia" w:ascii="宋体" w:hAnsi="宋体" w:cs="宋体"/>
                <w:szCs w:val="21"/>
              </w:rPr>
              <w:t>⑴危险废物运输车辆由公司车辆主管部门统筹调配管理，该车辆只能在车辆主管部门统一安排保障下进行危险废物类货物的运输工作。</w:t>
            </w:r>
          </w:p>
          <w:p>
            <w:pPr>
              <w:ind w:firstLine="420" w:firstLineChars="200"/>
              <w:rPr>
                <w:rFonts w:ascii="宋体" w:hAnsi="宋体" w:cs="宋体"/>
                <w:szCs w:val="21"/>
              </w:rPr>
            </w:pPr>
            <w:r>
              <w:rPr>
                <w:rFonts w:hint="eastAsia" w:ascii="宋体" w:hAnsi="宋体" w:cs="宋体"/>
                <w:szCs w:val="21"/>
              </w:rPr>
              <w:t>⑵驾驶该类车辆的驾驶员必须符合以下条件：经过危险货物运输驾驶培训并合格，工作态度认真负责，技术熟练，熟悉道路情况。应做到严格遵守交通、消防、治安等相关法规。具备一定的对所运危险货物实施应急处理的知识和能力。</w:t>
            </w:r>
          </w:p>
          <w:p>
            <w:pPr>
              <w:ind w:firstLine="420" w:firstLineChars="200"/>
              <w:rPr>
                <w:rFonts w:ascii="宋体" w:hAnsi="宋体" w:cs="宋体"/>
                <w:szCs w:val="21"/>
              </w:rPr>
            </w:pPr>
            <w:r>
              <w:rPr>
                <w:rFonts w:hint="eastAsia" w:ascii="宋体" w:hAnsi="宋体" w:cs="宋体"/>
                <w:szCs w:val="21"/>
              </w:rPr>
              <w:t>⑶执行危险废物运输任务的车辆必须满足性能状况良好，车容整洁、车厢内清洁干燥，并严格按要求配备和使用了合格的安全、消防等应急防护器材。</w:t>
            </w:r>
          </w:p>
          <w:p>
            <w:pPr>
              <w:ind w:firstLine="420" w:firstLineChars="200"/>
              <w:rPr>
                <w:rFonts w:ascii="宋体" w:hAnsi="宋体" w:cs="宋体"/>
                <w:szCs w:val="21"/>
              </w:rPr>
            </w:pPr>
            <w:r>
              <w:rPr>
                <w:rFonts w:hint="eastAsia" w:ascii="宋体" w:hAnsi="宋体" w:cs="宋体"/>
                <w:szCs w:val="21"/>
              </w:rPr>
              <w:t>⑷危险废物运输车辆驾驶员应严格执行车辆的例行检查、车辆二级维护等管理规定，及时发现和处理车辆存在的机械故障等隐患问题，提高车辆的行驶性能，以确保该类车辆的安全行驶。并对搭载的铁路集装箱做好封闭性检查，确保集装箱无破漏情况。</w:t>
            </w:r>
          </w:p>
          <w:p>
            <w:pPr>
              <w:ind w:firstLine="420" w:firstLineChars="200"/>
              <w:rPr>
                <w:rFonts w:ascii="宋体" w:hAnsi="宋体" w:cs="宋体"/>
                <w:szCs w:val="21"/>
              </w:rPr>
            </w:pPr>
            <w:r>
              <w:rPr>
                <w:rFonts w:hint="eastAsia" w:ascii="宋体" w:hAnsi="宋体" w:cs="宋体"/>
                <w:szCs w:val="21"/>
              </w:rPr>
              <w:t>⑸危险废物运输车辆在出车前，应根据本次运输废物的危险特性，在技术人员的指导下，领取人员防护装备和随车应急处置物品；检查随车医用救护包是否完好。并在车内准备好备用的集装袋。</w:t>
            </w:r>
          </w:p>
          <w:p>
            <w:pPr>
              <w:ind w:firstLine="420" w:firstLineChars="200"/>
              <w:rPr>
                <w:rFonts w:ascii="宋体" w:hAnsi="宋体" w:cs="宋体"/>
                <w:szCs w:val="21"/>
              </w:rPr>
            </w:pPr>
            <w:r>
              <w:rPr>
                <w:rFonts w:hint="eastAsia" w:ascii="宋体" w:hAnsi="宋体" w:cs="宋体"/>
                <w:szCs w:val="21"/>
              </w:rPr>
              <w:t>⑹危险废物运输车辆装车前，驾驶员必须认真检查货物类别及其性质，货物的包装必须符合包装技术要求，并粘贴有明显的标识，对达不安全规范要求，可以拒绝接收运输。严禁危险废物运输车辆对性质不相容的货物进行拼装，严禁危险废物运输车辆进行超载运输。</w:t>
            </w:r>
          </w:p>
          <w:p>
            <w:pPr>
              <w:ind w:firstLine="420" w:firstLineChars="200"/>
              <w:rPr>
                <w:rFonts w:ascii="宋体" w:hAnsi="宋体" w:cs="宋体"/>
                <w:szCs w:val="21"/>
              </w:rPr>
            </w:pPr>
            <w:r>
              <w:rPr>
                <w:rFonts w:hint="eastAsia" w:ascii="宋体" w:hAnsi="宋体" w:cs="宋体"/>
                <w:szCs w:val="21"/>
              </w:rPr>
              <w:t>⑺危险废物运输车辆驾驶员在车辆装卸时，应根据将运输的货物的特性，向装卸工人讲解相关的注意事项和安全防范知识，要求其严格遵守装卸操作规程，以防止违规操作带来的安全事故发生。装载过程中如发生集装袋破损及货物泄漏等情况，应立即使用随车备用的集装袋进行重新包装，并将散落在集装袋外的货物重新装回新的集装袋内，以防止危险物质带来的安全隐患及环境污染责任事故。</w:t>
            </w:r>
          </w:p>
          <w:p>
            <w:pPr>
              <w:ind w:firstLine="420" w:firstLineChars="200"/>
              <w:rPr>
                <w:rFonts w:ascii="宋体" w:hAnsi="宋体" w:cs="宋体"/>
                <w:szCs w:val="21"/>
              </w:rPr>
            </w:pPr>
            <w:r>
              <w:rPr>
                <w:rFonts w:hint="eastAsia" w:ascii="宋体" w:hAnsi="宋体" w:cs="宋体"/>
                <w:szCs w:val="21"/>
              </w:rPr>
              <w:t>⑻危险废物运输车辆驾驶员在货物装载完成后，应认真检查集装箱中危险货物的存放状态，保证集装箱门正常关闭，封闭良好，封箱带使用符合规范。</w:t>
            </w:r>
          </w:p>
          <w:p>
            <w:pPr>
              <w:ind w:firstLine="420" w:firstLineChars="200"/>
              <w:rPr>
                <w:rFonts w:ascii="宋体" w:hAnsi="宋体" w:cs="宋体"/>
                <w:szCs w:val="21"/>
              </w:rPr>
            </w:pPr>
            <w:r>
              <w:rPr>
                <w:rFonts w:hint="eastAsia" w:ascii="宋体" w:hAnsi="宋体" w:cs="宋体"/>
                <w:szCs w:val="21"/>
              </w:rPr>
              <w:t>⑼危险废物运输车辆行驶时，驾驶员要控制好车速，在非特殊的交通运行状况（如突发交通事故、自然灾害等）下不准急加速或急减速，力求平稳驾驶。行驶过程中还应该注意选择并掌握路面平稳度，加大行车安全间距，不得违反交通安全规则超越行进中的机动车辆和行人。</w:t>
            </w:r>
          </w:p>
          <w:p>
            <w:pPr>
              <w:ind w:firstLine="420" w:firstLineChars="200"/>
              <w:rPr>
                <w:rFonts w:ascii="宋体" w:hAnsi="宋体" w:cs="宋体"/>
                <w:szCs w:val="21"/>
              </w:rPr>
            </w:pPr>
            <w:r>
              <w:rPr>
                <w:rFonts w:hint="eastAsia" w:ascii="宋体" w:hAnsi="宋体" w:cs="宋体"/>
                <w:szCs w:val="21"/>
              </w:rPr>
              <w:t>⑽危险废物运输车辆在执行危险废物运输任务时严禁搭载无关人员，也不允许在运输途中任由他人打开集装箱门。</w:t>
            </w:r>
          </w:p>
          <w:p>
            <w:pPr>
              <w:ind w:firstLine="420" w:firstLineChars="200"/>
              <w:rPr>
                <w:rFonts w:ascii="宋体" w:hAnsi="宋体" w:cs="宋体"/>
                <w:szCs w:val="21"/>
              </w:rPr>
            </w:pPr>
            <w:r>
              <w:rPr>
                <w:rFonts w:hint="eastAsia" w:ascii="宋体" w:hAnsi="宋体" w:cs="宋体"/>
                <w:szCs w:val="21"/>
              </w:rPr>
              <w:t>⑾危险废物运输车辆在运输途中需要临时停车时，应远离居民点、学校、交通繁华路段、名胜古迹和风景游览区。特别不准驾驶员远离车辆，更不准在发动机工作时向油箱加注油料。</w:t>
            </w:r>
          </w:p>
          <w:p>
            <w:pPr>
              <w:ind w:firstLine="420" w:firstLineChars="200"/>
              <w:rPr>
                <w:rFonts w:ascii="宋体" w:hAnsi="宋体" w:cs="宋体"/>
                <w:szCs w:val="21"/>
              </w:rPr>
            </w:pPr>
            <w:r>
              <w:rPr>
                <w:rFonts w:hint="eastAsia" w:ascii="宋体" w:hAnsi="宋体" w:cs="宋体"/>
                <w:szCs w:val="21"/>
              </w:rPr>
              <w:t>⑿危险废物运输车辆驾驶员在运输途中，因自身车辆驾驶责任或他人责任造成交通安全等意外事故，驾驶员必须及时与公司相关部门汇报，若运输液态废物或易燃、有毒有害废物时需迅速报告当地交通、安全、消防、保险等相关主管部门请求援助。</w:t>
            </w:r>
          </w:p>
          <w:p>
            <w:pPr>
              <w:ind w:firstLine="420" w:firstLineChars="200"/>
              <w:rPr>
                <w:rFonts w:ascii="宋体" w:hAnsi="宋体" w:cs="宋体"/>
                <w:szCs w:val="21"/>
              </w:rPr>
            </w:pPr>
            <w:r>
              <w:rPr>
                <w:rFonts w:hint="eastAsia" w:ascii="宋体" w:hAnsi="宋体" w:cs="宋体"/>
                <w:szCs w:val="21"/>
              </w:rPr>
              <w:t>⒀危险废物运输车辆驾驶员应根据所运输的危险货物特性，必须在指定的地点实施车辆的清洗保洁，防止车车辆箱体残留的危险物质造成人身伤害及二次污染环境责任。</w:t>
            </w:r>
          </w:p>
          <w:p>
            <w:pPr>
              <w:ind w:firstLine="420" w:firstLineChars="200"/>
              <w:rPr>
                <w:rFonts w:ascii="宋体" w:hAnsi="宋体" w:cs="宋体"/>
                <w:b/>
                <w:bCs/>
                <w:szCs w:val="21"/>
                <w:shd w:val="pct10" w:color="auto" w:fill="FFFFFF"/>
              </w:rPr>
            </w:pPr>
            <w:r>
              <w:rPr>
                <w:rFonts w:hint="eastAsia" w:ascii="宋体" w:hAnsi="宋体" w:cs="宋体"/>
                <w:szCs w:val="21"/>
              </w:rPr>
              <w:t>⒁危险废物运输车辆必须按照公司规定停放在指定的停车库（场）。因特殊情况需要，必须符合安全、不产生环境污染等基本条件，报经主管领导同意后才能在其他停车库（场）作暂时停放。</w:t>
            </w:r>
          </w:p>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trPr>
        <w:tc>
          <w:tcPr>
            <w:tcW w:w="9345" w:type="dxa"/>
          </w:tcPr>
          <w:p>
            <w:pPr>
              <w:numPr>
                <w:ilvl w:val="0"/>
                <w:numId w:val="1"/>
              </w:numPr>
              <w:spacing w:line="570" w:lineRule="exact"/>
              <w:rPr>
                <w:rFonts w:ascii="Times New Roman"/>
                <w:bCs/>
              </w:rPr>
            </w:pPr>
            <w:r>
              <w:rPr>
                <w:rFonts w:ascii="Times New Roman"/>
                <w:bCs/>
              </w:rPr>
              <w:t>运输过程中的安全防护措施以及按照要求配备的相应安全防护设备</w:t>
            </w:r>
          </w:p>
          <w:p>
            <w:pPr>
              <w:ind w:firstLine="420" w:firstLineChars="200"/>
              <w:rPr>
                <w:rFonts w:ascii="宋体" w:hAnsi="宋体" w:cs="宋体"/>
                <w:szCs w:val="21"/>
              </w:rPr>
            </w:pPr>
            <w:r>
              <w:rPr>
                <w:rFonts w:hint="eastAsia" w:ascii="宋体" w:hAnsi="宋体" w:cs="宋体"/>
                <w:szCs w:val="21"/>
              </w:rPr>
              <w:t>1、执行危险废物运输任务的车辆必须满足性能状况良好，车容整洁、车厢内清洁干燥，并严格按要求配备和使用了合格的安全、消防等应急防护器材。</w:t>
            </w:r>
          </w:p>
          <w:p>
            <w:pPr>
              <w:ind w:firstLine="420" w:firstLineChars="200"/>
              <w:rPr>
                <w:rFonts w:ascii="宋体" w:hAnsi="宋体" w:cs="宋体"/>
                <w:szCs w:val="21"/>
              </w:rPr>
            </w:pPr>
            <w:r>
              <w:rPr>
                <w:rFonts w:hint="eastAsia" w:ascii="宋体" w:hAnsi="宋体" w:cs="宋体"/>
                <w:szCs w:val="21"/>
              </w:rPr>
              <w:t>2、危险废物运输车辆驾驶员应严格执行车辆的例行检查、车辆二级维护等管理规定，及时发现和处理车辆存在的机械故障等隐患问题，提高车辆的行驶性能，以确保该类车辆的安全行驶。并对搭载的铁路集装箱做好封闭性检查，确保集装箱无破漏情况。</w:t>
            </w:r>
          </w:p>
          <w:p>
            <w:pPr>
              <w:ind w:firstLine="420" w:firstLineChars="200"/>
              <w:rPr>
                <w:rFonts w:ascii="宋体" w:hAnsi="宋体" w:cs="宋体"/>
                <w:szCs w:val="21"/>
              </w:rPr>
            </w:pPr>
            <w:r>
              <w:rPr>
                <w:rFonts w:hint="eastAsia" w:ascii="宋体" w:hAnsi="宋体" w:cs="宋体"/>
                <w:szCs w:val="21"/>
              </w:rPr>
              <w:t>3、危险废物运输车辆在出车前，应根据本次运输废物的危险特性，在技术人员的指导下，领取人员防护装备和随车应急处置物品；检查随车医用救护包是否完好。并在车内准备好备用的集装袋。</w:t>
            </w:r>
          </w:p>
          <w:p>
            <w:pPr>
              <w:ind w:firstLine="420" w:firstLineChars="200"/>
              <w:rPr>
                <w:rFonts w:eastAsia="仿宋_GB2312"/>
                <w:szCs w:val="21"/>
              </w:rPr>
            </w:pPr>
            <w:r>
              <w:rPr>
                <w:rFonts w:hint="eastAsia" w:ascii="宋体" w:hAnsi="宋体" w:cs="宋体"/>
                <w:szCs w:val="21"/>
              </w:rPr>
              <w:t>4、危险废物运输车辆装车前，驾驶员必须认真检查货物类别及其性质，货物的包装必须符合包装技术要求，并粘贴有明显的标识，对达不安全规范要求，可以拒绝接收运输。严禁危险废物运输车辆对性质不相容的货物进行拼装，严禁危险废物运输车辆进行超载运输。</w:t>
            </w:r>
          </w:p>
          <w:p>
            <w:pPr>
              <w:rPr>
                <w:rFonts w:asci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tcPr>
          <w:p>
            <w:pPr>
              <w:rPr>
                <w:rFonts w:ascii="Times New Roman" w:hAnsi="Times New Roman"/>
                <w:bCs/>
              </w:rPr>
            </w:pPr>
            <w:r>
              <w:rPr>
                <w:rFonts w:ascii="Times New Roman" w:hAnsi="Times New Roman"/>
                <w:bCs/>
              </w:rPr>
              <w:t>3</w:t>
            </w:r>
            <w:r>
              <w:rPr>
                <w:rFonts w:ascii="Times New Roman"/>
                <w:bCs/>
              </w:rPr>
              <w:t>、运输过程中的应急预案以及按照要求配备的相应应急设备</w:t>
            </w:r>
          </w:p>
          <w:p>
            <w:pPr>
              <w:pStyle w:val="3"/>
              <w:ind w:left="420" w:firstLine="0" w:firstLineChars="0"/>
              <w:rPr>
                <w:rFonts w:ascii="宋体" w:hAnsi="宋体" w:eastAsia="宋体" w:cs="宋体"/>
                <w:b/>
                <w:bCs/>
                <w:sz w:val="21"/>
                <w:szCs w:val="21"/>
              </w:rPr>
            </w:pPr>
            <w:r>
              <w:rPr>
                <w:rFonts w:hint="eastAsia" w:ascii="宋体" w:hAnsi="宋体" w:eastAsia="宋体" w:cs="宋体"/>
                <w:b/>
                <w:bCs/>
                <w:sz w:val="21"/>
                <w:szCs w:val="21"/>
              </w:rPr>
              <w:t>1.危险废物运输车辆在装卸、运输过程中发生车辆故障、危险废物包装物破裂泄漏污染、危险废物燃烧（爆炸）、人身伤害等事故现象。</w:t>
            </w:r>
          </w:p>
          <w:p>
            <w:pPr>
              <w:pStyle w:val="3"/>
              <w:ind w:firstLine="315" w:firstLineChars="150"/>
              <w:rPr>
                <w:rFonts w:ascii="宋体" w:hAnsi="宋体" w:eastAsia="宋体" w:cs="宋体"/>
                <w:sz w:val="21"/>
                <w:szCs w:val="21"/>
              </w:rPr>
            </w:pPr>
            <w:r>
              <w:rPr>
                <w:rFonts w:hint="eastAsia" w:ascii="宋体" w:hAnsi="宋体" w:eastAsia="宋体" w:cs="宋体"/>
                <w:sz w:val="21"/>
                <w:szCs w:val="21"/>
              </w:rPr>
              <w:t>1.1危险废物运输车辆驾驶员(副驾驶员)立即实施应急自救工作，设立事故现场区域警戒线，并向单位应急救援小组组长(副组长)报告事故情况。</w:t>
            </w:r>
          </w:p>
          <w:p>
            <w:pPr>
              <w:pStyle w:val="3"/>
              <w:ind w:left="420" w:firstLine="0" w:firstLineChars="0"/>
              <w:rPr>
                <w:rFonts w:ascii="宋体" w:hAnsi="宋体" w:eastAsia="宋体" w:cs="宋体"/>
                <w:sz w:val="21"/>
                <w:szCs w:val="21"/>
              </w:rPr>
            </w:pPr>
            <w:r>
              <w:rPr>
                <w:rFonts w:hint="eastAsia" w:ascii="宋体" w:hAnsi="宋体" w:eastAsia="宋体" w:cs="宋体"/>
                <w:sz w:val="21"/>
                <w:szCs w:val="21"/>
              </w:rPr>
              <w:t>1.1.1运输车辆驾驶员应急自救方式</w:t>
            </w:r>
          </w:p>
          <w:p>
            <w:pPr>
              <w:pStyle w:val="3"/>
              <w:ind w:firstLine="570" w:firstLineChars="0"/>
              <w:rPr>
                <w:rFonts w:ascii="宋体" w:hAnsi="宋体" w:eastAsia="宋体" w:cs="宋体"/>
                <w:sz w:val="21"/>
                <w:szCs w:val="21"/>
              </w:rPr>
            </w:pPr>
            <w:r>
              <w:rPr>
                <w:rFonts w:hint="eastAsia" w:ascii="宋体" w:hAnsi="宋体" w:eastAsia="宋体" w:cs="宋体"/>
                <w:sz w:val="21"/>
                <w:szCs w:val="21"/>
              </w:rPr>
              <w:t>运输车辆驾驶员和押运员应根据事故实际情况，充分借助现场现有的装备和有限的力量，采取车辆故障原因排查维修、局部泄漏污染堵漏、使用灭火器灭火、安全隔离爆炸物，实施人员伤害自救等有效措施，有效控制事态的进一步恶化。</w:t>
            </w:r>
          </w:p>
          <w:p>
            <w:pPr>
              <w:pStyle w:val="3"/>
              <w:ind w:firstLineChars="0"/>
              <w:rPr>
                <w:rFonts w:ascii="宋体" w:hAnsi="宋体" w:eastAsia="宋体" w:cs="宋体"/>
                <w:sz w:val="21"/>
                <w:szCs w:val="21"/>
              </w:rPr>
            </w:pPr>
            <w:r>
              <w:rPr>
                <w:rFonts w:hint="eastAsia" w:ascii="宋体" w:hAnsi="宋体" w:eastAsia="宋体" w:cs="宋体"/>
                <w:sz w:val="21"/>
                <w:szCs w:val="21"/>
              </w:rPr>
              <w:t>1.1.2运输车辆驾驶员报告的内容</w:t>
            </w:r>
          </w:p>
          <w:p>
            <w:pPr>
              <w:tabs>
                <w:tab w:val="left" w:pos="0"/>
              </w:tabs>
              <w:ind w:firstLine="210" w:firstLineChars="100"/>
              <w:rPr>
                <w:rFonts w:ascii="宋体" w:hAnsi="宋体" w:cs="宋体"/>
                <w:szCs w:val="21"/>
              </w:rPr>
            </w:pPr>
            <w:r>
              <w:rPr>
                <w:rFonts w:hint="eastAsia" w:ascii="宋体" w:hAnsi="宋体" w:cs="宋体"/>
                <w:szCs w:val="21"/>
              </w:rPr>
              <w:t xml:space="preserve">     运输车辆驾驶员向单位应急救授小组组长(副组长)报告</w:t>
            </w:r>
            <w:r>
              <w:rPr>
                <w:rFonts w:hint="eastAsia" w:ascii="宋体" w:hAnsi="宋体" w:cs="宋体"/>
                <w:color w:val="000000"/>
                <w:szCs w:val="21"/>
              </w:rPr>
              <w:t>事故发生的时间、地点、原因、事故最新状态、已采取的措施情况及其简要经过。</w:t>
            </w:r>
          </w:p>
          <w:p>
            <w:pPr>
              <w:pStyle w:val="3"/>
              <w:ind w:firstLine="422"/>
              <w:rPr>
                <w:rFonts w:ascii="宋体" w:hAnsi="宋体" w:eastAsia="宋体" w:cs="宋体"/>
                <w:b/>
                <w:bCs/>
                <w:sz w:val="21"/>
                <w:szCs w:val="21"/>
              </w:rPr>
            </w:pPr>
            <w:r>
              <w:rPr>
                <w:rFonts w:hint="eastAsia" w:ascii="宋体" w:hAnsi="宋体" w:eastAsia="宋体" w:cs="宋体"/>
                <w:b/>
                <w:bCs/>
                <w:sz w:val="21"/>
                <w:szCs w:val="21"/>
              </w:rPr>
              <w:t>2．应急救援小组在初步实施应急救援后，综合现场处置情况后作出阶段性的救援评估结论。</w:t>
            </w:r>
          </w:p>
          <w:p>
            <w:pPr>
              <w:pStyle w:val="3"/>
              <w:ind w:firstLine="417" w:firstLineChars="199"/>
              <w:rPr>
                <w:rFonts w:ascii="宋体" w:hAnsi="宋体" w:eastAsia="宋体" w:cs="宋体"/>
                <w:sz w:val="21"/>
                <w:szCs w:val="21"/>
              </w:rPr>
            </w:pPr>
            <w:r>
              <w:rPr>
                <w:rFonts w:hint="eastAsia" w:ascii="宋体" w:hAnsi="宋体" w:eastAsia="宋体" w:cs="宋体"/>
                <w:sz w:val="21"/>
                <w:szCs w:val="21"/>
              </w:rPr>
              <w:t>2.1应急救援小组借助的装备足以能够控制事态的进一步发展，保障事故处置结果的安全有效。</w:t>
            </w:r>
          </w:p>
          <w:p>
            <w:pPr>
              <w:pStyle w:val="3"/>
              <w:ind w:firstLine="417" w:firstLineChars="199"/>
              <w:rPr>
                <w:rFonts w:ascii="宋体" w:hAnsi="宋体" w:eastAsia="宋体" w:cs="宋体"/>
                <w:sz w:val="21"/>
                <w:szCs w:val="21"/>
              </w:rPr>
            </w:pPr>
            <w:r>
              <w:rPr>
                <w:rFonts w:hint="eastAsia" w:ascii="宋体" w:hAnsi="宋体" w:eastAsia="宋体" w:cs="宋体"/>
                <w:sz w:val="21"/>
                <w:szCs w:val="21"/>
              </w:rPr>
              <w:t>2.1.1应急救援小组依据事态发展趋势，结合现有的应急装备，作出对下一步切实有效的应急措施布署，并积极稳妥地逐项开展进一步的应急救援和现场处置工作。</w:t>
            </w:r>
          </w:p>
          <w:p>
            <w:pPr>
              <w:pStyle w:val="3"/>
              <w:ind w:firstLine="417" w:firstLineChars="199"/>
              <w:rPr>
                <w:rFonts w:ascii="宋体" w:hAnsi="宋体" w:eastAsia="宋体" w:cs="宋体"/>
                <w:sz w:val="21"/>
                <w:szCs w:val="21"/>
              </w:rPr>
            </w:pPr>
            <w:r>
              <w:rPr>
                <w:rFonts w:hint="eastAsia" w:ascii="宋体" w:hAnsi="宋体" w:eastAsia="宋体" w:cs="宋体"/>
                <w:sz w:val="21"/>
                <w:szCs w:val="21"/>
              </w:rPr>
              <w:t>2.2应急救援小组借助仅有的装备和有限的力量不能估计和控制事态的进一步发展态势，难以保证胜任并完成现场应急救援及处置工作。</w:t>
            </w:r>
          </w:p>
          <w:p>
            <w:pPr>
              <w:pStyle w:val="3"/>
              <w:ind w:firstLine="420"/>
              <w:rPr>
                <w:rFonts w:ascii="宋体" w:hAnsi="宋体" w:eastAsia="宋体" w:cs="宋体"/>
                <w:sz w:val="21"/>
                <w:szCs w:val="21"/>
              </w:rPr>
            </w:pPr>
            <w:r>
              <w:rPr>
                <w:rFonts w:hint="eastAsia" w:ascii="宋体" w:hAnsi="宋体" w:eastAsia="宋体" w:cs="宋体"/>
                <w:sz w:val="21"/>
                <w:szCs w:val="21"/>
              </w:rPr>
              <w:t>2.2.1应急救援小组向应急救援小组组长(副组长)报告现场阶段性救援评估结论，请求社会应急援增力量救援。</w:t>
            </w:r>
          </w:p>
          <w:p>
            <w:pPr>
              <w:pStyle w:val="3"/>
              <w:ind w:firstLine="420"/>
              <w:rPr>
                <w:rFonts w:ascii="宋体" w:hAnsi="宋体" w:eastAsia="宋体" w:cs="宋体"/>
                <w:sz w:val="21"/>
                <w:szCs w:val="21"/>
              </w:rPr>
            </w:pPr>
          </w:p>
          <w:p>
            <w:pPr>
              <w:pStyle w:val="3"/>
              <w:ind w:firstLine="422"/>
              <w:rPr>
                <w:rFonts w:ascii="宋体" w:hAnsi="宋体" w:eastAsia="宋体" w:cs="宋体"/>
                <w:b/>
                <w:bCs/>
                <w:sz w:val="21"/>
                <w:szCs w:val="21"/>
              </w:rPr>
            </w:pPr>
            <w:r>
              <w:rPr>
                <w:rFonts w:hint="eastAsia" w:ascii="宋体" w:hAnsi="宋体" w:eastAsia="宋体" w:cs="宋体"/>
                <w:b/>
                <w:bCs/>
                <w:sz w:val="21"/>
                <w:szCs w:val="21"/>
              </w:rPr>
              <w:t>3.应急小组组长综合了解现场阶段性救援评估结论后，根据现场事态的最新发展情况要求社会应急救援力量增援。</w:t>
            </w:r>
          </w:p>
          <w:p>
            <w:pPr>
              <w:pStyle w:val="3"/>
              <w:ind w:firstLineChars="0"/>
              <w:rPr>
                <w:rFonts w:ascii="宋体" w:hAnsi="宋体" w:eastAsia="宋体" w:cs="宋体"/>
                <w:color w:val="000000"/>
                <w:sz w:val="21"/>
                <w:szCs w:val="21"/>
              </w:rPr>
            </w:pPr>
            <w:r>
              <w:rPr>
                <w:rFonts w:hint="eastAsia" w:ascii="宋体" w:hAnsi="宋体" w:eastAsia="宋体" w:cs="宋体"/>
                <w:sz w:val="21"/>
                <w:szCs w:val="21"/>
              </w:rPr>
              <w:t>3.1应急小组组长向当地公安、消防、环保、医疗等相关机构及部门报告</w:t>
            </w:r>
            <w:r>
              <w:rPr>
                <w:rFonts w:hint="eastAsia" w:ascii="宋体" w:hAnsi="宋体" w:eastAsia="宋体" w:cs="宋体"/>
                <w:color w:val="000000"/>
                <w:sz w:val="21"/>
                <w:szCs w:val="21"/>
              </w:rPr>
              <w:t>事故发生的时间、地点、原因、事故的最新状态、潜在危害和单位已采取了应急救援措施情况及其简要经过。</w:t>
            </w:r>
          </w:p>
          <w:p>
            <w:pPr>
              <w:pStyle w:val="3"/>
              <w:ind w:firstLineChars="0"/>
              <w:rPr>
                <w:rFonts w:ascii="宋体" w:hAnsi="宋体" w:eastAsia="宋体" w:cs="宋体"/>
                <w:sz w:val="21"/>
                <w:szCs w:val="21"/>
              </w:rPr>
            </w:pPr>
            <w:r>
              <w:rPr>
                <w:rFonts w:hint="eastAsia" w:ascii="宋体" w:hAnsi="宋体" w:eastAsia="宋体" w:cs="宋体"/>
                <w:color w:val="000000"/>
                <w:sz w:val="21"/>
                <w:szCs w:val="21"/>
              </w:rPr>
              <w:t>3.2当</w:t>
            </w:r>
            <w:r>
              <w:rPr>
                <w:rFonts w:hint="eastAsia" w:ascii="宋体" w:hAnsi="宋体" w:eastAsia="宋体" w:cs="宋体"/>
                <w:sz w:val="21"/>
                <w:szCs w:val="21"/>
              </w:rPr>
              <w:t>地公安、消防、环保、医疗等相关机构及部门接到事故报告后，协调社会应急救援力量，派出应急救援增补力量。</w:t>
            </w:r>
          </w:p>
          <w:p>
            <w:pPr>
              <w:pStyle w:val="3"/>
              <w:ind w:firstLineChars="0"/>
              <w:rPr>
                <w:rFonts w:ascii="宋体" w:hAnsi="宋体" w:eastAsia="宋体" w:cs="宋体"/>
                <w:sz w:val="21"/>
                <w:szCs w:val="21"/>
              </w:rPr>
            </w:pPr>
            <w:r>
              <w:rPr>
                <w:rFonts w:hint="eastAsia" w:ascii="宋体" w:hAnsi="宋体" w:eastAsia="宋体" w:cs="宋体"/>
                <w:sz w:val="21"/>
                <w:szCs w:val="21"/>
              </w:rPr>
              <w:t>3.3当地公安、消防、环保、医疗等相关机构及部门派出的应急救援增补力量到达现场正式投入救援工作，实施积极有效的应急救援措施，完成最终的排险救援。</w:t>
            </w:r>
          </w:p>
          <w:p>
            <w:pPr>
              <w:rPr>
                <w:rFonts w:ascii="Times New Roman" w:hAnsi="Times New Roman"/>
              </w:rPr>
            </w:pPr>
          </w:p>
        </w:tc>
      </w:tr>
    </w:tbl>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eastAsia="黑体"/>
          <w:sz w:val="28"/>
          <w:szCs w:val="28"/>
        </w:rPr>
      </w:pPr>
    </w:p>
    <w:p>
      <w:pPr>
        <w:rPr>
          <w:rFonts w:ascii="Times New Roman" w:hAnsi="Times New Roman" w:eastAsia="黑体"/>
          <w:sz w:val="28"/>
          <w:szCs w:val="28"/>
        </w:rPr>
      </w:pPr>
      <w:r>
        <w:rPr>
          <w:rFonts w:hint="eastAsia" w:ascii="Times New Roman" w:eastAsia="黑体"/>
          <w:sz w:val="28"/>
          <w:szCs w:val="28"/>
        </w:rPr>
        <w:t>第三部分</w:t>
      </w:r>
      <w:r>
        <w:rPr>
          <w:rFonts w:ascii="Times New Roman" w:hAnsi="Times New Roman" w:eastAsia="黑体"/>
          <w:sz w:val="28"/>
          <w:szCs w:val="28"/>
        </w:rPr>
        <w:t xml:space="preserve">   </w:t>
      </w:r>
      <w:r>
        <w:rPr>
          <w:rFonts w:hint="eastAsia" w:ascii="Times New Roman" w:eastAsia="黑体"/>
          <w:sz w:val="28"/>
          <w:szCs w:val="28"/>
        </w:rPr>
        <w:t>废物处理处置情况</w:t>
      </w:r>
    </w:p>
    <w:tbl>
      <w:tblPr>
        <w:tblStyle w:val="8"/>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vAlign w:val="center"/>
          </w:tcPr>
          <w:p>
            <w:pPr>
              <w:rPr>
                <w:rFonts w:ascii="Times New Roman" w:hAnsi="Times New Roman"/>
                <w:b/>
                <w:bCs/>
              </w:rPr>
            </w:pPr>
            <w:r>
              <w:rPr>
                <w:rFonts w:ascii="Times New Roman" w:hAnsi="Times New Roman"/>
                <w:b/>
                <w:bCs/>
              </w:rPr>
              <w:t xml:space="preserve">  </w:t>
            </w:r>
            <w:r>
              <w:rPr>
                <w:rFonts w:hint="eastAsia" w:ascii="Times New Roman"/>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vAlign w:val="center"/>
          </w:tcPr>
          <w:p>
            <w:pPr>
              <w:rPr>
                <w:b/>
                <w:bCs/>
              </w:rPr>
            </w:pPr>
            <w:r>
              <w:t>单位名称：</w:t>
            </w:r>
            <w:r>
              <w:rPr>
                <w:rFonts w:hint="eastAsia"/>
              </w:rPr>
              <w:t>内蒙古辰东循环</w:t>
            </w:r>
            <w:r>
              <w:t>利用科技</w:t>
            </w:r>
            <w:r>
              <w:rPr>
                <w:rFonts w:hint="eastAsia"/>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vAlign w:val="center"/>
          </w:tcPr>
          <w:p>
            <w:r>
              <w:t>危废经营许可证编号：</w:t>
            </w:r>
            <w:r>
              <w:rPr>
                <w:rFonts w:hint="eastAsia"/>
              </w:rPr>
              <w:t>1509260</w:t>
            </w:r>
            <w:r>
              <w:t>108</w:t>
            </w:r>
          </w:p>
        </w:tc>
        <w:tc>
          <w:tcPr>
            <w:tcW w:w="4200" w:type="dxa"/>
            <w:vAlign w:val="center"/>
          </w:tcPr>
          <w:p>
            <w:r>
              <w:t>有效期：</w:t>
            </w:r>
            <w:r>
              <w:rPr>
                <w:rFonts w:hint="eastAsia"/>
              </w:rPr>
              <w:t>201</w:t>
            </w:r>
            <w:r>
              <w:t>9</w:t>
            </w:r>
            <w:r>
              <w:rPr>
                <w:rFonts w:hint="eastAsia"/>
              </w:rPr>
              <w:t>年</w:t>
            </w:r>
            <w:r>
              <w:t>11</w:t>
            </w:r>
            <w:r>
              <w:rPr>
                <w:rFonts w:hint="eastAsia"/>
              </w:rPr>
              <w:t>月--202</w:t>
            </w:r>
            <w:r>
              <w:t>4</w:t>
            </w:r>
            <w:r>
              <w:rPr>
                <w:rFonts w:hint="eastAsia"/>
              </w:rPr>
              <w:t>年</w:t>
            </w:r>
            <w:r>
              <w:t>10</w:t>
            </w:r>
            <w:r>
              <w:rPr>
                <w:rFonts w:hint="eastAsia"/>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9345" w:type="dxa"/>
            <w:gridSpan w:val="2"/>
          </w:tcPr>
          <w:p>
            <w:r>
              <w:t>经营核准内容（废物名称、类别、数量）：</w:t>
            </w:r>
          </w:p>
          <w:p>
            <w:pPr>
              <w:numPr>
                <w:ilvl w:val="0"/>
                <w:numId w:val="2"/>
              </w:numPr>
              <w:spacing w:line="480" w:lineRule="auto"/>
            </w:pPr>
            <w:r>
              <w:rPr>
                <w:rFonts w:hint="eastAsia"/>
              </w:rPr>
              <w:t>表面处理废物HW17  336-05</w:t>
            </w:r>
            <w:r>
              <w:t>4</w:t>
            </w:r>
            <w:r>
              <w:rPr>
                <w:rFonts w:hint="eastAsia"/>
              </w:rPr>
              <w:t>-17、336-055-17、336-057-17、336-060-17、336-062-17、336-063-17、336-064-17、336-066-17、336-067-17、336-068-17、336-06</w:t>
            </w:r>
            <w:r>
              <w:t>9</w:t>
            </w:r>
            <w:r>
              <w:rPr>
                <w:rFonts w:hint="eastAsia"/>
              </w:rPr>
              <w:t>-17、336-101-17）</w:t>
            </w:r>
          </w:p>
          <w:p>
            <w:pPr>
              <w:numPr>
                <w:ilvl w:val="0"/>
                <w:numId w:val="2"/>
              </w:numPr>
              <w:spacing w:line="480" w:lineRule="auto"/>
            </w:pPr>
            <w:r>
              <w:rPr>
                <w:rFonts w:hint="eastAsia"/>
              </w:rPr>
              <w:t>含铬废物 HW21（31</w:t>
            </w:r>
            <w:r>
              <w:rPr>
                <w:rFonts w:hint="eastAsia"/>
                <w:lang w:val="en-US" w:eastAsia="zh-CN"/>
              </w:rPr>
              <w:t>4</w:t>
            </w:r>
            <w:r>
              <w:rPr>
                <w:rFonts w:hint="eastAsia"/>
              </w:rPr>
              <w:t>-001-21、31</w:t>
            </w:r>
            <w:r>
              <w:rPr>
                <w:rFonts w:hint="eastAsia"/>
                <w:lang w:val="en-US" w:eastAsia="zh-CN"/>
              </w:rPr>
              <w:t>4</w:t>
            </w:r>
            <w:r>
              <w:rPr>
                <w:rFonts w:hint="eastAsia"/>
              </w:rPr>
              <w:t>-002-21、31</w:t>
            </w:r>
            <w:r>
              <w:rPr>
                <w:rFonts w:hint="eastAsia"/>
                <w:lang w:val="en-US" w:eastAsia="zh-CN"/>
              </w:rPr>
              <w:t>4</w:t>
            </w:r>
            <w:r>
              <w:rPr>
                <w:rFonts w:hint="eastAsia"/>
              </w:rPr>
              <w:t>-003-21、261-041-21）</w:t>
            </w:r>
          </w:p>
          <w:p>
            <w:pPr>
              <w:numPr>
                <w:ilvl w:val="0"/>
                <w:numId w:val="2"/>
              </w:numPr>
              <w:spacing w:line="480" w:lineRule="auto"/>
            </w:pPr>
            <w:r>
              <w:rPr>
                <w:rFonts w:hint="eastAsia"/>
              </w:rPr>
              <w:t>含</w:t>
            </w:r>
            <w:r>
              <w:rPr>
                <w:rFonts w:hint="eastAsia"/>
                <w:lang w:val="en-US" w:eastAsia="zh-CN"/>
              </w:rPr>
              <w:t>锌</w:t>
            </w:r>
            <w:r>
              <w:rPr>
                <w:rFonts w:hint="eastAsia"/>
              </w:rPr>
              <w:t>废物 HW</w:t>
            </w:r>
            <w:r>
              <w:rPr>
                <w:rFonts w:hint="eastAsia"/>
                <w:lang w:val="en-US" w:eastAsia="zh-CN"/>
              </w:rPr>
              <w:t>23</w:t>
            </w:r>
            <w:r>
              <w:rPr>
                <w:rFonts w:hint="eastAsia"/>
              </w:rPr>
              <w:t>（312-001-</w:t>
            </w:r>
            <w:r>
              <w:rPr>
                <w:rFonts w:hint="eastAsia"/>
                <w:lang w:val="en-US" w:eastAsia="zh-CN"/>
              </w:rPr>
              <w:t>23</w:t>
            </w:r>
            <w:r>
              <w:rPr>
                <w:rFonts w:hint="eastAsia"/>
              </w:rPr>
              <w:t>）</w:t>
            </w:r>
          </w:p>
          <w:p>
            <w:pPr>
              <w:numPr>
                <w:ilvl w:val="0"/>
                <w:numId w:val="2"/>
              </w:numPr>
              <w:spacing w:line="480" w:lineRule="auto"/>
            </w:pPr>
            <w:r>
              <w:rPr>
                <w:rFonts w:hint="eastAsia"/>
              </w:rPr>
              <w:t>含镍废物 HW</w:t>
            </w:r>
            <w:r>
              <w:t>46</w:t>
            </w:r>
            <w:r>
              <w:rPr>
                <w:rFonts w:hint="eastAsia"/>
              </w:rPr>
              <w:t>（</w:t>
            </w:r>
            <w:r>
              <w:t>261</w:t>
            </w:r>
            <w:r>
              <w:rPr>
                <w:rFonts w:hint="eastAsia"/>
              </w:rPr>
              <w:t>-0</w:t>
            </w:r>
            <w:r>
              <w:t>87</w:t>
            </w:r>
            <w:r>
              <w:rPr>
                <w:rFonts w:hint="eastAsia"/>
              </w:rPr>
              <w:t>-</w:t>
            </w:r>
            <w:r>
              <w:t>46</w:t>
            </w:r>
            <w:r>
              <w:rPr>
                <w:rFonts w:hint="eastAsia"/>
              </w:rPr>
              <w:t>、900-0</w:t>
            </w:r>
            <w:r>
              <w:t>37</w:t>
            </w:r>
            <w:r>
              <w:rPr>
                <w:rFonts w:hint="eastAsia"/>
              </w:rPr>
              <w:t>-</w:t>
            </w:r>
            <w:r>
              <w:t>46</w:t>
            </w:r>
            <w:r>
              <w:rPr>
                <w:rFonts w:hint="eastAsia"/>
              </w:rPr>
              <w:t>）</w:t>
            </w:r>
          </w:p>
          <w:p>
            <w:pPr>
              <w:spacing w:line="480" w:lineRule="auto"/>
            </w:pPr>
            <w:r>
              <w:rPr>
                <w:rFonts w:hint="eastAsia"/>
              </w:rPr>
              <w:t>以上废物核准处置量共计</w:t>
            </w:r>
            <w:r>
              <w:t>28</w:t>
            </w:r>
            <w:r>
              <w:rPr>
                <w:rFonts w:hint="eastAsia"/>
              </w:rPr>
              <w:t xml:space="preserve">.1万吨/年 </w:t>
            </w:r>
          </w:p>
          <w:p>
            <w:pPr>
              <w:spacing w:line="480" w:lineRule="auto"/>
            </w:pPr>
            <w:r>
              <w:rPr>
                <w:rFonts w:hint="eastAsia"/>
              </w:rPr>
              <w:t>核准经营方式：收集、贮存、利用</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8"/>
        <w:tblW w:w="10490"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490" w:type="dxa"/>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10490" w:type="dxa"/>
          </w:tcPr>
          <w:p>
            <w:pPr>
              <w:spacing w:line="300" w:lineRule="exact"/>
              <w:rPr>
                <w:rFonts w:ascii="Times New Roman"/>
              </w:rPr>
            </w:pPr>
            <w:r>
              <w:rPr>
                <w:rFonts w:ascii="Times New Roman"/>
              </w:rPr>
              <w:t>文字描述及工艺流程图</w:t>
            </w:r>
          </w:p>
          <w:p>
            <w:pPr>
              <w:spacing w:line="360" w:lineRule="auto"/>
              <w:rPr>
                <w:rFonts w:ascii="宋体" w:hAnsi="宋体" w:cs="宋体"/>
                <w:szCs w:val="21"/>
              </w:rPr>
            </w:pPr>
            <w:r>
              <w:rPr>
                <w:rFonts w:hint="eastAsia" w:ascii="宋体" w:hAnsi="宋体" w:cs="宋体"/>
                <w:szCs w:val="21"/>
              </w:rPr>
              <w:t xml:space="preserve">   含镍废渣、污泥由具有危废资质的运输公司运至处置单位，在红土镍矿中掺入20%左右的污泥进行冶炼处置，具体工艺流程如下：</w:t>
            </w:r>
          </w:p>
          <w:p>
            <w:pPr>
              <w:numPr>
                <w:ilvl w:val="0"/>
                <w:numId w:val="3"/>
              </w:numPr>
              <w:spacing w:line="360" w:lineRule="auto"/>
              <w:ind w:firstLine="420" w:firstLineChars="200"/>
              <w:rPr>
                <w:rFonts w:ascii="宋体" w:hAnsi="宋体" w:cs="宋体"/>
                <w:szCs w:val="21"/>
                <w:lang w:val="zh-CN"/>
              </w:rPr>
            </w:pPr>
            <w:r>
              <w:rPr>
                <w:rFonts w:hint="eastAsia" w:ascii="宋体" w:hAnsi="宋体" w:cs="宋体"/>
                <w:szCs w:val="21"/>
              </w:rPr>
              <w:t>进入工厂原料库棚的</w:t>
            </w:r>
            <w:r>
              <w:rPr>
                <w:rFonts w:hint="eastAsia" w:ascii="宋体" w:hAnsi="宋体" w:cs="宋体"/>
                <w:szCs w:val="21"/>
                <w:lang w:val="zh-CN"/>
              </w:rPr>
              <w:t>红土镍矿含有</w:t>
            </w:r>
            <w:r>
              <w:rPr>
                <w:rFonts w:hint="eastAsia" w:ascii="宋体" w:hAnsi="宋体" w:cs="宋体"/>
                <w:szCs w:val="21"/>
              </w:rPr>
              <w:t>30%左右的外在水和结晶水，</w:t>
            </w:r>
            <w:r>
              <w:rPr>
                <w:rFonts w:hint="eastAsia" w:ascii="宋体" w:hAnsi="宋体" w:cs="宋体"/>
                <w:szCs w:val="21"/>
                <w:lang w:val="zh-CN"/>
              </w:rPr>
              <w:t>含镍废渣、污泥含水率为</w:t>
            </w:r>
            <w:r>
              <w:rPr>
                <w:rFonts w:hint="eastAsia" w:ascii="宋体" w:hAnsi="宋体" w:cs="宋体"/>
                <w:szCs w:val="21"/>
              </w:rPr>
              <w:t>3</w:t>
            </w:r>
            <w:r>
              <w:rPr>
                <w:rFonts w:hint="eastAsia" w:ascii="宋体" w:hAnsi="宋体" w:cs="宋体"/>
                <w:szCs w:val="21"/>
                <w:lang w:val="zh-CN"/>
              </w:rPr>
              <w:t>0%左右，不能直接进行冶炼，需进行水分去除干燥，</w:t>
            </w:r>
            <w:r>
              <w:rPr>
                <w:rFonts w:hint="eastAsia" w:ascii="宋体" w:hAnsi="宋体" w:cs="宋体"/>
                <w:szCs w:val="21"/>
              </w:rPr>
              <w:t>烧结机采用</w:t>
            </w:r>
            <w:r>
              <w:rPr>
                <w:rFonts w:hint="eastAsia" w:ascii="宋体" w:hAnsi="宋体" w:cs="宋体"/>
                <w:szCs w:val="21"/>
                <w:lang w:val="zh-CN"/>
              </w:rPr>
              <w:t>兰炭</w:t>
            </w:r>
            <w:r>
              <w:rPr>
                <w:rFonts w:hint="eastAsia" w:ascii="宋体" w:hAnsi="宋体" w:cs="宋体"/>
                <w:szCs w:val="21"/>
              </w:rPr>
              <w:t>面</w:t>
            </w:r>
            <w:r>
              <w:rPr>
                <w:rFonts w:hint="eastAsia" w:ascii="宋体" w:hAnsi="宋体" w:cs="宋体"/>
                <w:szCs w:val="21"/>
                <w:lang w:val="zh-CN"/>
              </w:rPr>
              <w:t>作为干燥热源，将红土镍矿和含镍废渣、污泥混合后投入烧结机进行干燥处理，燃料为煤气发生炉产生煤气，兰碳粉与红土</w:t>
            </w:r>
            <w:r>
              <w:rPr>
                <w:rFonts w:hint="eastAsia" w:ascii="宋体" w:hAnsi="宋体" w:cs="宋体"/>
                <w:szCs w:val="21"/>
              </w:rPr>
              <w:t>镍</w:t>
            </w:r>
            <w:r>
              <w:rPr>
                <w:rFonts w:hint="eastAsia" w:ascii="宋体" w:hAnsi="宋体" w:cs="宋体"/>
                <w:szCs w:val="21"/>
                <w:lang w:val="zh-CN"/>
              </w:rPr>
              <w:t>矿混合作为内燃燃料，燃烧产生的热量对红土矿进行烘干烧结，烘干呈逆流形式，从烧结机出来的物料进入配料仓。</w:t>
            </w:r>
          </w:p>
          <w:p>
            <w:pPr>
              <w:spacing w:line="360" w:lineRule="auto"/>
              <w:rPr>
                <w:rFonts w:ascii="宋体" w:hAnsi="宋体" w:cs="宋体"/>
                <w:szCs w:val="21"/>
              </w:rPr>
            </w:pPr>
            <w:r>
              <w:rPr>
                <w:rFonts w:hint="eastAsia" w:ascii="宋体" w:hAnsi="宋体" w:cs="宋体"/>
                <w:szCs w:val="21"/>
              </w:rPr>
              <w:t xml:space="preserve">   （2）被干燥的物料进入配料系统储料仓，按需配入的还原剂（兰炭），助熔剂（白灰），经电子配料秤和振动溶料机按工艺要求配比计量后，经爬斗提升机运输至矿热电炉顶层，由环形给料机布入储料仓，经液压控制的下料管自动加入矿热电炉进行冶炼。</w:t>
            </w:r>
          </w:p>
          <w:p>
            <w:pPr>
              <w:spacing w:line="360" w:lineRule="auto"/>
              <w:rPr>
                <w:rFonts w:ascii="宋体" w:hAnsi="宋体" w:cs="宋体"/>
                <w:szCs w:val="21"/>
              </w:rPr>
            </w:pPr>
            <w:r>
              <w:rPr>
                <w:rFonts w:hint="eastAsia" w:ascii="宋体" w:hAnsi="宋体" w:cs="宋体"/>
                <w:szCs w:val="21"/>
              </w:rPr>
              <w:t xml:space="preserve">   （3）冶炼镍合金的是矿石还原炉，冶炼由三板自焙电极将变压器经网输入的电能，经由电极端头的的电弧热和电极与物料间的电阻热以及还原剂产生的燃烧热，将电能转变为热能。入炉物料在高温下，经预热、融熔、融化，其中的氧化镍和部分氧化铁中的氧与还原剂中的碳素结合形成C0,Fe</w:t>
            </w:r>
            <w:r>
              <w:rPr>
                <w:rFonts w:hint="eastAsia" w:ascii="宋体" w:hAnsi="宋体" w:cs="宋体"/>
                <w:szCs w:val="21"/>
                <w:vertAlign w:val="superscript"/>
              </w:rPr>
              <w:t>3+</w:t>
            </w:r>
            <w:r>
              <w:rPr>
                <w:rFonts w:hint="eastAsia" w:ascii="宋体" w:hAnsi="宋体" w:cs="宋体"/>
                <w:szCs w:val="21"/>
              </w:rPr>
              <w:t>、Ni离子还原为金属镍水和铁水，经过渣层落入炉缸。</w:t>
            </w:r>
          </w:p>
          <w:p>
            <w:pPr>
              <w:spacing w:line="360" w:lineRule="auto"/>
              <w:rPr>
                <w:rFonts w:ascii="宋体" w:hAnsi="宋体" w:cs="宋体"/>
                <w:b/>
                <w:bCs/>
                <w:szCs w:val="21"/>
              </w:rPr>
            </w:pPr>
            <w:r>
              <w:rPr>
                <w:rFonts w:hint="eastAsia" w:ascii="宋体" w:hAnsi="宋体" w:cs="宋体"/>
                <w:szCs w:val="21"/>
              </w:rPr>
              <w:t xml:space="preserve">   （4）当镍合金金属物和其他少量还原物在炉缸积存到一定量后，由开眼机打开出镍口放入镍水包，经连铸机铸成镍锭，精整后运至成品库房待销售。</w:t>
            </w:r>
          </w:p>
          <w:p>
            <w:pPr>
              <w:spacing w:line="360" w:lineRule="auto"/>
              <w:ind w:firstLine="560"/>
              <w:rPr>
                <w:rFonts w:ascii="宋体" w:hAnsi="宋体" w:cs="宋体"/>
                <w:szCs w:val="21"/>
              </w:rPr>
            </w:pPr>
            <w:r>
              <w:rPr>
                <w:rFonts w:hint="eastAsia" w:ascii="宋体" w:hAnsi="宋体" w:cs="宋体"/>
                <w:szCs w:val="21"/>
              </w:rPr>
              <w:t>未被还原的氧化物则由出渣口排出炉膛，暂存于厂区镍铁渣库，全部由政府部门指定固废处置中心统一清运，用于制砖或生产水泥建材。</w:t>
            </w:r>
          </w:p>
          <w:p>
            <w:pPr>
              <w:rPr>
                <w:rFonts w:ascii="Times New Roman" w:hAnsi="Times New Roman"/>
                <w:b/>
                <w:bCs/>
              </w:rPr>
            </w:pPr>
            <w:r>
              <w:rPr>
                <w:rFonts w:ascii="Times New Roman" w:hAnsi="Times New Roman"/>
                <w:b/>
                <w:bCs/>
              </w:rPr>
              <w:drawing>
                <wp:inline distT="0" distB="0" distL="114300" distR="114300">
                  <wp:extent cx="7562850" cy="10687050"/>
                  <wp:effectExtent l="0" t="0" r="11430" b="11430"/>
                  <wp:docPr id="2" name="图片 5"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工艺图"/>
                          <pic:cNvPicPr>
                            <a:picLocks noChangeAspect="1"/>
                          </pic:cNvPicPr>
                        </pic:nvPicPr>
                        <pic:blipFill>
                          <a:blip r:embed="rId7" cstate="print"/>
                          <a:stretch>
                            <a:fillRect/>
                          </a:stretch>
                        </pic:blipFill>
                        <pic:spPr>
                          <a:xfrm>
                            <a:off x="0" y="0"/>
                            <a:ext cx="7562850" cy="10687050"/>
                          </a:xfrm>
                          <a:prstGeom prst="rect">
                            <a:avLst/>
                          </a:prstGeom>
                          <a:noFill/>
                          <a:ln>
                            <a:noFill/>
                          </a:ln>
                        </pic:spPr>
                      </pic:pic>
                    </a:graphicData>
                  </a:graphic>
                </wp:inline>
              </w:drawing>
            </w:r>
          </w:p>
        </w:tc>
      </w:tr>
    </w:tbl>
    <w:p>
      <w:pPr>
        <w:rPr>
          <w:b/>
          <w:sz w:val="28"/>
          <w:szCs w:val="28"/>
        </w:rPr>
        <w:sectPr>
          <w:pgSz w:w="11906" w:h="16838"/>
          <w:pgMar w:top="1440" w:right="1800" w:bottom="1440" w:left="1800" w:header="851" w:footer="992" w:gutter="0"/>
          <w:cols w:space="720" w:num="1"/>
          <w:docGrid w:type="lines" w:linePitch="312" w:charSpace="0"/>
        </w:sectPr>
      </w:pPr>
    </w:p>
    <w:p>
      <w:pPr>
        <w:numPr>
          <w:ilvl w:val="0"/>
          <w:numId w:val="4"/>
        </w:numPr>
        <w:rPr>
          <w:rFonts w:ascii="Times New Roman" w:eastAsia="黑体"/>
          <w:sz w:val="28"/>
          <w:szCs w:val="28"/>
        </w:rPr>
      </w:pPr>
      <w:r>
        <w:rPr>
          <w:rFonts w:ascii="Times New Roman" w:eastAsia="黑体"/>
          <w:sz w:val="28"/>
          <w:szCs w:val="28"/>
        </w:rPr>
        <w:t>上年度固体（危险）废物跨省转移情况</w:t>
      </w:r>
    </w:p>
    <w:tbl>
      <w:tblPr>
        <w:tblW w:w="15330" w:type="dxa"/>
        <w:tblInd w:w="-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95"/>
        <w:gridCol w:w="2610"/>
        <w:gridCol w:w="1980"/>
        <w:gridCol w:w="660"/>
        <w:gridCol w:w="1635"/>
        <w:gridCol w:w="900"/>
        <w:gridCol w:w="975"/>
        <w:gridCol w:w="615"/>
        <w:gridCol w:w="1590"/>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68" w:hRule="atLeast"/>
        </w:trPr>
        <w:tc>
          <w:tcPr>
            <w:tcW w:w="1995" w:type="dxa"/>
            <w:shd w:val="clear"/>
            <w:vAlign w:val="center"/>
          </w:tcPr>
          <w:p>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联单编号</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计划编号</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经营企业</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危废名称</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危废八位代码</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转移量</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接收量</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单位</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运输公司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运输车牌</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联单状态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20233204019116</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33.46</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33.46</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蒙J89217</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20233204015771</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33.368</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33.368</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蒙J82551</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20233204015537</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33.3</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33.3</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蒙JC1556</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20233204014751</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33.264</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33.264</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蒙JB1181</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20233204014748</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33.54</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33.54</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蒙J92517</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20233204009477</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33.22</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33.22</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蒙JB7819</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9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20233204009526</w:t>
            </w:r>
          </w:p>
        </w:tc>
        <w:tc>
          <w:tcPr>
            <w:tcW w:w="261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GSQ2022320402000015</w:t>
            </w:r>
          </w:p>
        </w:tc>
        <w:tc>
          <w:tcPr>
            <w:tcW w:w="198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内蒙古辰东循环利用科技有限公司</w:t>
            </w:r>
          </w:p>
        </w:tc>
        <w:tc>
          <w:tcPr>
            <w:tcW w:w="66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污泥</w:t>
            </w:r>
          </w:p>
        </w:tc>
        <w:tc>
          <w:tcPr>
            <w:tcW w:w="163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336-064-17</w:t>
            </w:r>
          </w:p>
        </w:tc>
        <w:tc>
          <w:tcPr>
            <w:tcW w:w="90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33.66</w:t>
            </w:r>
          </w:p>
        </w:tc>
        <w:tc>
          <w:tcPr>
            <w:tcW w:w="97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33.66</w:t>
            </w:r>
          </w:p>
        </w:tc>
        <w:tc>
          <w:tcPr>
            <w:tcW w:w="61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吨</w:t>
            </w:r>
          </w:p>
        </w:tc>
        <w:tc>
          <w:tcPr>
            <w:tcW w:w="1590"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内蒙古青云物流有限公司</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蒙JB0158</w:t>
            </w:r>
          </w:p>
        </w:tc>
        <w:tc>
          <w:tcPr>
            <w:tcW w:w="1185" w:type="dxa"/>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已签收</w:t>
            </w:r>
          </w:p>
        </w:tc>
      </w:tr>
    </w:tbl>
    <w:p>
      <w:pPr>
        <w:numPr>
          <w:numId w:val="0"/>
        </w:numPr>
        <w:rPr>
          <w:rFonts w:ascii="Times New Roman" w:eastAsia="黑体"/>
          <w:sz w:val="28"/>
          <w:szCs w:val="28"/>
        </w:rPr>
      </w:pPr>
    </w:p>
    <w:p>
      <w:pPr>
        <w:spacing w:line="440" w:lineRule="exact"/>
        <w:jc w:val="left"/>
        <w:rPr>
          <w:rFonts w:ascii="Times New Roman" w:hAnsi="Times New Roman"/>
        </w:rPr>
      </w:pPr>
      <w:bookmarkStart w:id="0" w:name="_GoBack"/>
      <w:bookmarkEnd w:id="0"/>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3C0041" w:csb1="00000000"/>
  </w:font>
  <w:font w:name="等线">
    <w:panose1 w:val="02010600030101010101"/>
    <w:charset w:val="86"/>
    <w:family w:val="roman"/>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498D0"/>
    <w:multiLevelType w:val="singleLevel"/>
    <w:tmpl w:val="97F498D0"/>
    <w:lvl w:ilvl="0" w:tentative="0">
      <w:start w:val="4"/>
      <w:numFmt w:val="chineseCounting"/>
      <w:suff w:val="space"/>
      <w:lvlText w:val="第%1部分"/>
      <w:lvlJc w:val="left"/>
      <w:rPr>
        <w:rFonts w:hint="eastAsia"/>
      </w:rPr>
    </w:lvl>
  </w:abstractNum>
  <w:abstractNum w:abstractNumId="1">
    <w:nsid w:val="00F7EFBB"/>
    <w:multiLevelType w:val="singleLevel"/>
    <w:tmpl w:val="00F7EFBB"/>
    <w:lvl w:ilvl="0" w:tentative="0">
      <w:start w:val="1"/>
      <w:numFmt w:val="decimal"/>
      <w:suff w:val="nothing"/>
      <w:lvlText w:val="%1、"/>
      <w:lvlJc w:val="left"/>
    </w:lvl>
  </w:abstractNum>
  <w:abstractNum w:abstractNumId="2">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68A3769"/>
    <w:multiLevelType w:val="singleLevel"/>
    <w:tmpl w:val="568A376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FiYzZmZjBhNWY4OGM4OWE1ZWVhODFjMTE1ZWE1OGUifQ=="/>
  </w:docVars>
  <w:rsids>
    <w:rsidRoot w:val="00D42C73"/>
    <w:rsid w:val="0008770D"/>
    <w:rsid w:val="000964DD"/>
    <w:rsid w:val="000F486A"/>
    <w:rsid w:val="00162627"/>
    <w:rsid w:val="00181550"/>
    <w:rsid w:val="001874D9"/>
    <w:rsid w:val="001F34EA"/>
    <w:rsid w:val="001F76D1"/>
    <w:rsid w:val="00217CEB"/>
    <w:rsid w:val="00234A8D"/>
    <w:rsid w:val="00255661"/>
    <w:rsid w:val="00255E73"/>
    <w:rsid w:val="002B0420"/>
    <w:rsid w:val="002E29C0"/>
    <w:rsid w:val="002E33DD"/>
    <w:rsid w:val="003378EF"/>
    <w:rsid w:val="003534F0"/>
    <w:rsid w:val="00362525"/>
    <w:rsid w:val="00372A15"/>
    <w:rsid w:val="00455DFB"/>
    <w:rsid w:val="004801EF"/>
    <w:rsid w:val="004B70C8"/>
    <w:rsid w:val="00517970"/>
    <w:rsid w:val="00517EC8"/>
    <w:rsid w:val="00590F81"/>
    <w:rsid w:val="00594B30"/>
    <w:rsid w:val="00603C0B"/>
    <w:rsid w:val="00622D13"/>
    <w:rsid w:val="006250EF"/>
    <w:rsid w:val="00647DE1"/>
    <w:rsid w:val="006567F0"/>
    <w:rsid w:val="00664D24"/>
    <w:rsid w:val="00730628"/>
    <w:rsid w:val="007E5917"/>
    <w:rsid w:val="007F43EB"/>
    <w:rsid w:val="007F6FE6"/>
    <w:rsid w:val="00810618"/>
    <w:rsid w:val="00814346"/>
    <w:rsid w:val="00820FBB"/>
    <w:rsid w:val="00823BAC"/>
    <w:rsid w:val="00826B5D"/>
    <w:rsid w:val="00832900"/>
    <w:rsid w:val="00850941"/>
    <w:rsid w:val="00850E0F"/>
    <w:rsid w:val="00877D9A"/>
    <w:rsid w:val="0088203A"/>
    <w:rsid w:val="0088300B"/>
    <w:rsid w:val="008D263B"/>
    <w:rsid w:val="00902FAE"/>
    <w:rsid w:val="00924C74"/>
    <w:rsid w:val="009677C0"/>
    <w:rsid w:val="00970E89"/>
    <w:rsid w:val="009A6352"/>
    <w:rsid w:val="00A047E5"/>
    <w:rsid w:val="00A106B2"/>
    <w:rsid w:val="00A14792"/>
    <w:rsid w:val="00A24082"/>
    <w:rsid w:val="00A56690"/>
    <w:rsid w:val="00A93A87"/>
    <w:rsid w:val="00A96BF5"/>
    <w:rsid w:val="00AA48A6"/>
    <w:rsid w:val="00AE279B"/>
    <w:rsid w:val="00AF78B4"/>
    <w:rsid w:val="00B270F3"/>
    <w:rsid w:val="00BB66A1"/>
    <w:rsid w:val="00BC48B7"/>
    <w:rsid w:val="00BC6377"/>
    <w:rsid w:val="00C41406"/>
    <w:rsid w:val="00C64F34"/>
    <w:rsid w:val="00C720AC"/>
    <w:rsid w:val="00CA13EE"/>
    <w:rsid w:val="00CB2AA6"/>
    <w:rsid w:val="00D42C73"/>
    <w:rsid w:val="00D97A30"/>
    <w:rsid w:val="00DB1DD3"/>
    <w:rsid w:val="00DE5470"/>
    <w:rsid w:val="00DF34A1"/>
    <w:rsid w:val="00E44318"/>
    <w:rsid w:val="00E75813"/>
    <w:rsid w:val="00F1124A"/>
    <w:rsid w:val="00F36DA6"/>
    <w:rsid w:val="00F42655"/>
    <w:rsid w:val="00F9645B"/>
    <w:rsid w:val="00FB45AC"/>
    <w:rsid w:val="00FF1494"/>
    <w:rsid w:val="01EC0B9A"/>
    <w:rsid w:val="0299268E"/>
    <w:rsid w:val="06622549"/>
    <w:rsid w:val="0E7B6E71"/>
    <w:rsid w:val="0EB36EB6"/>
    <w:rsid w:val="108A3745"/>
    <w:rsid w:val="11803BC0"/>
    <w:rsid w:val="12632D74"/>
    <w:rsid w:val="12976EFF"/>
    <w:rsid w:val="140A7642"/>
    <w:rsid w:val="14592F60"/>
    <w:rsid w:val="15453A0C"/>
    <w:rsid w:val="170A7BEB"/>
    <w:rsid w:val="173F2D07"/>
    <w:rsid w:val="176C7E0F"/>
    <w:rsid w:val="1A400C0E"/>
    <w:rsid w:val="1C4157E6"/>
    <w:rsid w:val="1C653B5F"/>
    <w:rsid w:val="21505A3E"/>
    <w:rsid w:val="22292766"/>
    <w:rsid w:val="252A0D35"/>
    <w:rsid w:val="267B313C"/>
    <w:rsid w:val="27DA668F"/>
    <w:rsid w:val="2A214F80"/>
    <w:rsid w:val="2D1E365E"/>
    <w:rsid w:val="2EE51B31"/>
    <w:rsid w:val="2FB14E4C"/>
    <w:rsid w:val="32223EBF"/>
    <w:rsid w:val="33D25BAA"/>
    <w:rsid w:val="367B047B"/>
    <w:rsid w:val="3BB71ACA"/>
    <w:rsid w:val="3C8B6AAA"/>
    <w:rsid w:val="3CCD1A4D"/>
    <w:rsid w:val="3DA448A6"/>
    <w:rsid w:val="3DC06F3A"/>
    <w:rsid w:val="42D82B51"/>
    <w:rsid w:val="438065A1"/>
    <w:rsid w:val="446B571B"/>
    <w:rsid w:val="473A5C75"/>
    <w:rsid w:val="477C2659"/>
    <w:rsid w:val="48716BDB"/>
    <w:rsid w:val="4C57655F"/>
    <w:rsid w:val="4C770B5F"/>
    <w:rsid w:val="4F603272"/>
    <w:rsid w:val="537659DF"/>
    <w:rsid w:val="554855C7"/>
    <w:rsid w:val="55F61F1C"/>
    <w:rsid w:val="5804306B"/>
    <w:rsid w:val="58125A98"/>
    <w:rsid w:val="58F4142D"/>
    <w:rsid w:val="59EF67C1"/>
    <w:rsid w:val="5A0E6902"/>
    <w:rsid w:val="5B1819B9"/>
    <w:rsid w:val="5DCC7771"/>
    <w:rsid w:val="5EA215EA"/>
    <w:rsid w:val="5FA36697"/>
    <w:rsid w:val="5FE51B21"/>
    <w:rsid w:val="606A7347"/>
    <w:rsid w:val="612A366B"/>
    <w:rsid w:val="621F3826"/>
    <w:rsid w:val="6266051D"/>
    <w:rsid w:val="62D373D2"/>
    <w:rsid w:val="62D551C1"/>
    <w:rsid w:val="63594B00"/>
    <w:rsid w:val="64C7418B"/>
    <w:rsid w:val="659C0CE2"/>
    <w:rsid w:val="66E60CA1"/>
    <w:rsid w:val="68487FEC"/>
    <w:rsid w:val="69D32606"/>
    <w:rsid w:val="6A9700C4"/>
    <w:rsid w:val="6C3C5C34"/>
    <w:rsid w:val="6CBE3151"/>
    <w:rsid w:val="6D565AC8"/>
    <w:rsid w:val="6D731B4C"/>
    <w:rsid w:val="6E3D12B1"/>
    <w:rsid w:val="6E57680B"/>
    <w:rsid w:val="724E18F4"/>
    <w:rsid w:val="75BB7936"/>
    <w:rsid w:val="77485519"/>
    <w:rsid w:val="789738EC"/>
    <w:rsid w:val="7ADA5786"/>
    <w:rsid w:val="7CB22155"/>
    <w:rsid w:val="7DEA3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iPriority w:val="0"/>
    <w:pPr>
      <w:spacing w:line="570" w:lineRule="exact"/>
      <w:ind w:firstLine="560" w:firstLineChars="200"/>
    </w:pPr>
    <w:rPr>
      <w:rFonts w:eastAsia="仿宋_GB2312" w:cs="Times New Roman"/>
      <w:sz w:val="28"/>
      <w:szCs w:val="22"/>
    </w:rPr>
  </w:style>
  <w:style w:type="paragraph" w:styleId="4">
    <w:name w:val="Plain Text"/>
    <w:basedOn w:val="1"/>
    <w:link w:val="12"/>
    <w:qFormat/>
    <w:uiPriority w:val="0"/>
    <w:rPr>
      <w:rFonts w:ascii="宋体" w:hAnsi="Courier New" w:cs="Courier New"/>
      <w:szCs w:val="21"/>
    </w:rPr>
  </w:style>
  <w:style w:type="paragraph" w:styleId="5">
    <w:name w:val="Balloon Text"/>
    <w:basedOn w:val="1"/>
    <w:link w:val="14"/>
    <w:semiHidden/>
    <w:unhideWhenUsed/>
    <w:uiPriority w:val="0"/>
    <w:rPr>
      <w:sz w:val="18"/>
      <w:szCs w:val="18"/>
    </w:rPr>
  </w:style>
  <w:style w:type="paragraph" w:styleId="6">
    <w:name w:val="footer"/>
    <w:basedOn w:val="1"/>
    <w:link w:val="11"/>
    <w:uiPriority w:val="0"/>
    <w:pPr>
      <w:tabs>
        <w:tab w:val="center" w:pos="4153"/>
        <w:tab w:val="right" w:pos="8306"/>
      </w:tabs>
      <w:snapToGrid w:val="0"/>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link w:val="7"/>
    <w:uiPriority w:val="0"/>
    <w:rPr>
      <w:rFonts w:ascii="Calibri" w:hAnsi="Calibri" w:cs="黑体"/>
      <w:kern w:val="2"/>
      <w:sz w:val="18"/>
      <w:szCs w:val="18"/>
    </w:rPr>
  </w:style>
  <w:style w:type="character" w:customStyle="1" w:styleId="11">
    <w:name w:val="页脚 Char"/>
    <w:link w:val="6"/>
    <w:uiPriority w:val="0"/>
    <w:rPr>
      <w:rFonts w:ascii="Calibri" w:hAnsi="Calibri" w:cs="黑体"/>
      <w:kern w:val="2"/>
      <w:sz w:val="18"/>
      <w:szCs w:val="18"/>
    </w:rPr>
  </w:style>
  <w:style w:type="character" w:customStyle="1" w:styleId="12">
    <w:name w:val="纯文本 Char"/>
    <w:link w:val="4"/>
    <w:uiPriority w:val="0"/>
    <w:rPr>
      <w:rFonts w:ascii="宋体" w:hAnsi="Courier New" w:cs="Courier New"/>
      <w:kern w:val="2"/>
      <w:sz w:val="21"/>
      <w:szCs w:val="21"/>
    </w:rPr>
  </w:style>
  <w:style w:type="character" w:customStyle="1" w:styleId="13">
    <w:name w:val="正文文本缩进 Char"/>
    <w:link w:val="3"/>
    <w:qFormat/>
    <w:uiPriority w:val="0"/>
    <w:rPr>
      <w:rFonts w:ascii="Calibri" w:hAnsi="Calibri" w:eastAsia="仿宋_GB2312"/>
      <w:kern w:val="2"/>
      <w:sz w:val="28"/>
      <w:szCs w:val="22"/>
    </w:rPr>
  </w:style>
  <w:style w:type="character" w:customStyle="1" w:styleId="14">
    <w:name w:val="批注框文本 Char"/>
    <w:basedOn w:val="9"/>
    <w:link w:val="5"/>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A8458-D08D-44F7-A9FC-5DB5C98F69BD}">
  <ds:schemaRefs/>
</ds:datastoreItem>
</file>

<file path=docProps/app.xml><?xml version="1.0" encoding="utf-8"?>
<Properties xmlns="http://schemas.openxmlformats.org/officeDocument/2006/extended-properties" xmlns:vt="http://schemas.openxmlformats.org/officeDocument/2006/docPropsVTypes">
  <Template>0</Template>
  <Company>User</Company>
  <Pages>14</Pages>
  <Words>982</Words>
  <Characters>5602</Characters>
  <Lines>46</Lines>
  <Paragraphs>13</Paragraphs>
  <TotalTime>160</TotalTime>
  <ScaleCrop>false</ScaleCrop>
  <LinksUpToDate>false</LinksUpToDate>
  <CharactersWithSpaces>6571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2018-11-08T08:08:00Z</dcterms:created>
  <dc:creator>wang</dc:creator>
  <cp:lastModifiedBy>西南丶</cp:lastModifiedBy>
  <cp:lastPrinted>2019-05-17T02:16:00Z</cp:lastPrinted>
  <dcterms:modified xsi:type="dcterms:W3CDTF">2023-11-28T01:33:43Z</dcterms:modified>
  <dc:title>上海闵东汽车运输有限公司运输路线示意图</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87C307266A5F4E3E86E721DFA1B5AA31_12</vt:lpwstr>
  </property>
</Properties>
</file>