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b/>
          <w:sz w:val="52"/>
          <w:szCs w:val="52"/>
        </w:rPr>
      </w:pPr>
    </w:p>
    <w:p>
      <w:pPr>
        <w:jc w:val="center"/>
        <w:rPr>
          <w:rFonts w:ascii="Times New Roman" w:hAnsi="Times New Roman" w:eastAsia="方正小标宋_GBK"/>
          <w:sz w:val="52"/>
          <w:szCs w:val="52"/>
        </w:rPr>
      </w:pPr>
      <w:r>
        <w:rPr>
          <w:rFonts w:ascii="Times New Roman" w:hAnsi="Times New Roman" w:eastAsia="方正小标宋_GBK"/>
          <w:sz w:val="52"/>
          <w:szCs w:val="52"/>
        </w:rPr>
        <w:t>江苏省固体（危险）废物</w:t>
      </w:r>
    </w:p>
    <w:p>
      <w:pPr>
        <w:jc w:val="center"/>
        <w:rPr>
          <w:rFonts w:ascii="Times New Roman" w:hAnsi="Times New Roman" w:eastAsia="方正小标宋_GBK"/>
          <w:sz w:val="52"/>
          <w:szCs w:val="52"/>
        </w:rPr>
      </w:pPr>
      <w:r>
        <w:rPr>
          <w:rFonts w:ascii="Times New Roman" w:hAnsi="Times New Roman" w:eastAsia="方正小标宋_GBK"/>
          <w:sz w:val="52"/>
          <w:szCs w:val="52"/>
        </w:rPr>
        <w:t>跨省</w:t>
      </w:r>
      <w:r>
        <w:rPr>
          <w:rFonts w:hint="eastAsia" w:ascii="Times New Roman" w:hAnsi="Times New Roman" w:eastAsia="方正小标宋_GBK"/>
          <w:sz w:val="52"/>
          <w:szCs w:val="52"/>
        </w:rPr>
        <w:t>（市）</w:t>
      </w:r>
      <w:r>
        <w:rPr>
          <w:rFonts w:ascii="Times New Roman" w:hAnsi="Times New Roman" w:eastAsia="方正小标宋_GBK"/>
          <w:sz w:val="52"/>
          <w:szCs w:val="52"/>
        </w:rPr>
        <w:t>转移实施方案</w:t>
      </w:r>
    </w:p>
    <w:p>
      <w:pPr>
        <w:jc w:val="center"/>
        <w:rPr>
          <w:rFonts w:ascii="Times New Roman" w:hAnsi="Times New Roman"/>
          <w:sz w:val="52"/>
        </w:rPr>
      </w:pPr>
    </w:p>
    <w:p>
      <w:pPr>
        <w:jc w:val="center"/>
        <w:rPr>
          <w:rFonts w:ascii="Times New Roman" w:hAnsi="Times New Roman"/>
          <w:sz w:val="52"/>
        </w:rPr>
      </w:pPr>
    </w:p>
    <w:p>
      <w:pPr>
        <w:jc w:val="cente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pStyle w:val="3"/>
        <w:tabs>
          <w:tab w:val="left" w:pos="5940"/>
        </w:tabs>
        <w:snapToGrid w:val="0"/>
        <w:jc w:val="center"/>
        <w:rPr>
          <w:rFonts w:ascii="Times New Roman" w:hAnsi="Times New Roman"/>
          <w:b/>
          <w:sz w:val="32"/>
        </w:rPr>
      </w:pPr>
      <w:r>
        <w:rPr>
          <w:rFonts w:ascii="Times New Roman" w:hAnsi="宋体"/>
          <w:b/>
          <w:sz w:val="32"/>
        </w:rPr>
        <w:t>申请单位：</w:t>
      </w:r>
      <w:r>
        <w:rPr>
          <w:rFonts w:ascii="Times New Roman" w:hAnsi="Times New Roman"/>
          <w:b/>
          <w:sz w:val="32"/>
          <w:u w:val="single"/>
        </w:rPr>
        <w:t xml:space="preserve"> </w:t>
      </w:r>
      <w:r>
        <w:rPr>
          <w:rFonts w:hint="eastAsia" w:ascii="Times New Roman" w:hAnsi="Times New Roman"/>
          <w:b/>
          <w:sz w:val="32"/>
          <w:u w:val="single"/>
        </w:rPr>
        <w:t xml:space="preserve"> </w:t>
      </w:r>
      <w:r>
        <w:rPr>
          <w:rFonts w:hint="eastAsia" w:ascii="Times New Roman" w:hAnsi="Times New Roman"/>
          <w:b/>
          <w:sz w:val="32"/>
          <w:u w:val="single"/>
          <w:lang w:val="en-US" w:eastAsia="zh-CN"/>
        </w:rPr>
        <w:t>江苏烁源新材料科技有限公司</w:t>
      </w:r>
      <w:r>
        <w:rPr>
          <w:rFonts w:ascii="Times New Roman" w:hAnsi="Times New Roman"/>
          <w:b/>
          <w:sz w:val="32"/>
          <w:u w:val="single"/>
        </w:rPr>
        <w:t xml:space="preserve">  </w:t>
      </w:r>
      <w:r>
        <w:rPr>
          <w:rFonts w:ascii="Times New Roman" w:hAnsi="宋体"/>
          <w:b/>
          <w:sz w:val="32"/>
        </w:rPr>
        <w:t>（公章）</w:t>
      </w:r>
    </w:p>
    <w:p>
      <w:pPr>
        <w:tabs>
          <w:tab w:val="left" w:pos="5940"/>
        </w:tabs>
        <w:snapToGrid w:val="0"/>
        <w:jc w:val="center"/>
        <w:rPr>
          <w:rFonts w:ascii="Times New Roman" w:hAnsi="Times New Roman"/>
          <w:b/>
          <w:sz w:val="32"/>
        </w:rPr>
      </w:pPr>
    </w:p>
    <w:p>
      <w:pPr>
        <w:tabs>
          <w:tab w:val="left" w:pos="5940"/>
        </w:tabs>
        <w:snapToGrid w:val="0"/>
        <w:jc w:val="center"/>
        <w:rPr>
          <w:rFonts w:ascii="Times New Roman" w:hAnsi="Times New Roman"/>
          <w:b/>
          <w:sz w:val="32"/>
        </w:rPr>
      </w:pPr>
    </w:p>
    <w:p>
      <w:pPr>
        <w:tabs>
          <w:tab w:val="left" w:pos="5940"/>
        </w:tabs>
        <w:snapToGrid w:val="0"/>
        <w:jc w:val="center"/>
        <w:rPr>
          <w:rFonts w:hint="default" w:ascii="Times New Roman" w:hAnsi="Times New Roman" w:eastAsia="宋体"/>
          <w:b/>
          <w:sz w:val="32"/>
          <w:lang w:val="en-US" w:eastAsia="zh-CN"/>
        </w:rPr>
      </w:pPr>
      <w:r>
        <w:rPr>
          <w:rFonts w:ascii="Times New Roman" w:hAnsi="宋体"/>
          <w:b/>
          <w:sz w:val="32"/>
        </w:rPr>
        <w:t>填报日期：</w:t>
      </w:r>
      <w:r>
        <w:rPr>
          <w:rFonts w:ascii="Times New Roman" w:hAnsi="Times New Roman"/>
          <w:b/>
          <w:sz w:val="32"/>
          <w:u w:val="single"/>
        </w:rPr>
        <w:t xml:space="preserve"> </w:t>
      </w:r>
      <w:r>
        <w:rPr>
          <w:rFonts w:hint="eastAsia" w:ascii="Times New Roman" w:hAnsi="Times New Roman"/>
          <w:b/>
          <w:sz w:val="32"/>
          <w:u w:val="single"/>
          <w:lang w:val="en-US" w:eastAsia="zh-CN"/>
        </w:rPr>
        <w:t xml:space="preserve"> 2023</w:t>
      </w:r>
      <w:r>
        <w:rPr>
          <w:rFonts w:hint="eastAsia" w:ascii="Times New Roman" w:hAnsi="Times New Roman"/>
          <w:b/>
          <w:sz w:val="32"/>
          <w:u w:val="single"/>
        </w:rPr>
        <w:t>-</w:t>
      </w:r>
      <w:r>
        <w:rPr>
          <w:rFonts w:hint="eastAsia" w:ascii="Times New Roman" w:hAnsi="Times New Roman"/>
          <w:b/>
          <w:sz w:val="32"/>
          <w:u w:val="single"/>
          <w:lang w:val="en-US" w:eastAsia="zh-CN"/>
        </w:rPr>
        <w:t>2</w:t>
      </w:r>
      <w:r>
        <w:rPr>
          <w:rFonts w:hint="eastAsia" w:ascii="Times New Roman" w:hAnsi="Times New Roman"/>
          <w:b/>
          <w:sz w:val="32"/>
          <w:u w:val="single"/>
        </w:rPr>
        <w:t>-</w:t>
      </w:r>
      <w:r>
        <w:rPr>
          <w:rFonts w:hint="eastAsia" w:ascii="Times New Roman" w:hAnsi="Times New Roman"/>
          <w:b/>
          <w:sz w:val="32"/>
          <w:u w:val="single"/>
          <w:lang w:val="en-US" w:eastAsia="zh-CN"/>
        </w:rPr>
        <w:t xml:space="preserve">20  </w:t>
      </w: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eastAsia="楷体_GB2312"/>
          <w:spacing w:val="20"/>
          <w:sz w:val="30"/>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rPr>
          <w:rFonts w:ascii="Times New Roman" w:hAnsi="Times New Roman"/>
          <w:b/>
          <w:sz w:val="24"/>
        </w:rPr>
      </w:pPr>
    </w:p>
    <w:p>
      <w:pPr>
        <w:tabs>
          <w:tab w:val="left" w:pos="5940"/>
        </w:tabs>
        <w:snapToGrid w:val="0"/>
        <w:spacing w:line="400" w:lineRule="exact"/>
        <w:jc w:val="center"/>
        <w:rPr>
          <w:rFonts w:ascii="Times New Roman" w:hAnsi="Times New Roman"/>
          <w:sz w:val="24"/>
        </w:rPr>
        <w:sectPr>
          <w:pgSz w:w="11906" w:h="16838"/>
          <w:pgMar w:top="1440" w:right="1800" w:bottom="1440" w:left="1800" w:header="851" w:footer="992" w:gutter="0"/>
          <w:pgNumType w:start="1"/>
          <w:cols w:space="425" w:num="1"/>
          <w:docGrid w:type="lines" w:linePitch="286" w:charSpace="0"/>
        </w:sectPr>
      </w:pPr>
      <w:r>
        <w:rPr>
          <w:rFonts w:ascii="Times New Roman" w:hAnsi="宋体"/>
          <w:b/>
          <w:sz w:val="24"/>
        </w:rPr>
        <w:t>江苏省环境保护厅制</w:t>
      </w:r>
    </w:p>
    <w:p>
      <w:pPr>
        <w:ind w:right="-758" w:rightChars="-361"/>
        <w:jc w:val="center"/>
        <w:rPr>
          <w:rFonts w:ascii="Times New Roman" w:hAnsi="Times New Roman" w:eastAsia="方正小标宋_GBK"/>
          <w:sz w:val="44"/>
          <w:szCs w:val="44"/>
        </w:rPr>
      </w:pPr>
      <w:r>
        <w:rPr>
          <w:rFonts w:ascii="Times New Roman" w:hAnsi="Times New Roman" w:eastAsia="方正小标宋_GBK"/>
          <w:sz w:val="44"/>
          <w:szCs w:val="44"/>
        </w:rPr>
        <w:t>申请者声明</w:t>
      </w:r>
    </w:p>
    <w:p>
      <w:pPr>
        <w:ind w:right="-758" w:rightChars="-361"/>
        <w:jc w:val="center"/>
        <w:rPr>
          <w:rFonts w:ascii="Times New Roman" w:hAnsi="Times New Roman" w:eastAsia="方正小标宋_GBK"/>
          <w:b/>
          <w:sz w:val="44"/>
          <w:szCs w:val="44"/>
        </w:rPr>
      </w:pPr>
    </w:p>
    <w:p>
      <w:pPr>
        <w:spacing w:line="360" w:lineRule="auto"/>
        <w:ind w:left="-210" w:leftChars="-100" w:right="-210" w:rightChars="-100" w:firstLine="640" w:firstLineChars="200"/>
        <w:rPr>
          <w:rFonts w:ascii="Times New Roman" w:hAnsi="Times New Roman" w:eastAsia="方正仿宋_GBK"/>
          <w:sz w:val="32"/>
          <w:szCs w:val="32"/>
        </w:rPr>
      </w:pPr>
      <w:r>
        <w:rPr>
          <w:rFonts w:ascii="Times New Roman" w:hAnsi="方正仿宋_GBK" w:eastAsia="方正仿宋_GBK"/>
          <w:sz w:val="32"/>
          <w:szCs w:val="32"/>
        </w:rPr>
        <w:t>我代表申请单位郑重承诺：本实施方案所填资料是完整的和真实的。转移的危险废物名称、</w:t>
      </w:r>
      <w:r>
        <w:rPr>
          <w:rFonts w:hint="eastAsia" w:ascii="Times New Roman" w:hAnsi="方正仿宋_GBK" w:eastAsia="方正仿宋_GBK"/>
          <w:sz w:val="32"/>
          <w:szCs w:val="32"/>
        </w:rPr>
        <w:t>类别、</w:t>
      </w:r>
      <w:r>
        <w:rPr>
          <w:rFonts w:ascii="Times New Roman" w:hAnsi="方正仿宋_GBK" w:eastAsia="方正仿宋_GBK"/>
          <w:sz w:val="32"/>
          <w:szCs w:val="32"/>
        </w:rPr>
        <w:t>代码、数量与实际相符</w:t>
      </w:r>
      <w:r>
        <w:rPr>
          <w:rFonts w:hint="eastAsia" w:ascii="Times New Roman" w:hAnsi="方正仿宋_GBK" w:eastAsia="方正仿宋_GBK"/>
          <w:sz w:val="32"/>
          <w:szCs w:val="32"/>
        </w:rPr>
        <w:t>。危险废物接受单位具备相应的处置利用能力</w:t>
      </w:r>
      <w:r>
        <w:rPr>
          <w:rFonts w:ascii="Times New Roman" w:hAnsi="方正仿宋_GBK" w:eastAsia="方正仿宋_GBK"/>
          <w:sz w:val="32"/>
          <w:szCs w:val="32"/>
        </w:rPr>
        <w:t>和污染防治</w:t>
      </w:r>
      <w:r>
        <w:rPr>
          <w:rFonts w:hint="eastAsia" w:ascii="Times New Roman" w:hAnsi="方正仿宋_GBK" w:eastAsia="方正仿宋_GBK"/>
          <w:sz w:val="32"/>
          <w:szCs w:val="32"/>
        </w:rPr>
        <w:t>措施。</w:t>
      </w:r>
      <w:r>
        <w:rPr>
          <w:rFonts w:ascii="Times New Roman" w:hAnsi="方正仿宋_GBK" w:eastAsia="方正仿宋_GBK"/>
          <w:sz w:val="32"/>
          <w:szCs w:val="32"/>
        </w:rPr>
        <w:t>委托有资质单位进行运输并按照制定的运输路线运输，保证转移的废物均到达接收单位进行安全处置处理，对转移过程中可能产生的环境风险提出合理的控制措施，实行跨省</w:t>
      </w:r>
      <w:r>
        <w:rPr>
          <w:rFonts w:hint="eastAsia" w:ascii="Times New Roman" w:hAnsi="方正仿宋_GBK" w:eastAsia="方正仿宋_GBK"/>
          <w:sz w:val="32"/>
          <w:szCs w:val="32"/>
        </w:rPr>
        <w:t>（市）</w:t>
      </w:r>
      <w:r>
        <w:rPr>
          <w:rFonts w:ascii="Times New Roman" w:hAnsi="方正仿宋_GBK" w:eastAsia="方正仿宋_GBK"/>
          <w:sz w:val="32"/>
          <w:szCs w:val="32"/>
        </w:rPr>
        <w:t>转移网上报告，承担转移全过程监控责任。</w:t>
      </w: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6"/>
          <w:szCs w:val="36"/>
        </w:rPr>
        <w:t xml:space="preserve">                                </w:t>
      </w: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p>
    <w:p>
      <w:pPr>
        <w:ind w:left="-210" w:leftChars="-100" w:right="-210" w:rightChars="-100" w:firstLine="1264"/>
        <w:rPr>
          <w:rFonts w:ascii="Times New Roman" w:hAnsi="Times New Roman" w:eastAsia="方正仿宋_GBK"/>
          <w:sz w:val="36"/>
          <w:szCs w:val="36"/>
        </w:rPr>
      </w:pPr>
      <w:r>
        <w:rPr>
          <w:rFonts w:ascii="Times New Roman" w:hAnsi="Times New Roman" w:eastAsia="方正仿宋_GBK"/>
          <w:sz w:val="32"/>
          <w:szCs w:val="32"/>
        </w:rPr>
        <w:t xml:space="preserve">     </w:t>
      </w:r>
    </w:p>
    <w:p>
      <w:pPr>
        <w:ind w:left="-210" w:leftChars="-100" w:right="-210" w:rightChars="-100" w:firstLine="1264"/>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方正仿宋_GBK" w:eastAsia="方正仿宋_GBK"/>
          <w:sz w:val="32"/>
          <w:szCs w:val="32"/>
        </w:rPr>
        <w:t>法人代表签字：</w:t>
      </w:r>
    </w:p>
    <w:p>
      <w:pPr>
        <w:ind w:left="-210" w:leftChars="-100" w:right="-210" w:rightChars="-100" w:firstLine="1264"/>
        <w:jc w:val="center"/>
        <w:rPr>
          <w:rFonts w:hint="eastAsia" w:ascii="Times New Roman" w:hAnsi="Times New Roman"/>
          <w:sz w:val="36"/>
          <w:szCs w:val="36"/>
          <w:lang w:val="en-US" w:eastAsia="zh-CN"/>
        </w:rPr>
      </w:pPr>
      <w:r>
        <w:rPr>
          <w:rFonts w:ascii="Times New Roman" w:hAnsi="Times New Roman"/>
          <w:sz w:val="36"/>
          <w:szCs w:val="36"/>
        </w:rPr>
        <w:t xml:space="preserve">           </w:t>
      </w:r>
      <w:r>
        <w:rPr>
          <w:rFonts w:hint="eastAsia" w:ascii="Times New Roman" w:hAnsi="Times New Roman"/>
          <w:sz w:val="36"/>
          <w:szCs w:val="36"/>
          <w:lang w:val="en-US" w:eastAsia="zh-CN"/>
        </w:rPr>
        <w:t xml:space="preserve">   </w:t>
      </w:r>
    </w:p>
    <w:p>
      <w:pPr>
        <w:ind w:left="-210" w:leftChars="-100" w:right="-210" w:rightChars="-100" w:firstLine="1264"/>
        <w:jc w:val="right"/>
        <w:rPr>
          <w:rFonts w:ascii="Times New Roman" w:hAnsi="Times New Roman"/>
          <w:sz w:val="36"/>
          <w:szCs w:val="36"/>
        </w:rPr>
      </w:pPr>
      <w:r>
        <w:rPr>
          <w:rFonts w:ascii="Times New Roman" w:hAnsi="Times New Roman"/>
          <w:sz w:val="36"/>
          <w:szCs w:val="36"/>
        </w:rPr>
        <w:t xml:space="preserve">      </w:t>
      </w:r>
      <w:r>
        <w:rPr>
          <w:rFonts w:hint="eastAsia" w:ascii="Times New Roman" w:hAnsi="Times New Roman"/>
          <w:sz w:val="36"/>
          <w:szCs w:val="36"/>
          <w:lang w:val="en-US" w:eastAsia="zh-CN"/>
        </w:rPr>
        <w:t xml:space="preserve">     </w:t>
      </w:r>
      <w:r>
        <w:rPr>
          <w:rFonts w:ascii="Times New Roman" w:hAnsi="方正仿宋_GBK" w:eastAsia="方正仿宋_GBK"/>
          <w:sz w:val="32"/>
          <w:szCs w:val="32"/>
        </w:rPr>
        <w:t>年</w:t>
      </w:r>
      <w:r>
        <w:rPr>
          <w:rFonts w:ascii="Times New Roman" w:hAnsi="Times New Roman" w:eastAsia="方正仿宋_GBK"/>
          <w:sz w:val="32"/>
          <w:szCs w:val="32"/>
        </w:rPr>
        <w:t xml:space="preserve">    </w:t>
      </w:r>
      <w:r>
        <w:rPr>
          <w:rFonts w:ascii="Times New Roman" w:hAnsi="方正仿宋_GBK" w:eastAsia="方正仿宋_GBK"/>
          <w:sz w:val="32"/>
          <w:szCs w:val="32"/>
        </w:rPr>
        <w:t>月</w:t>
      </w:r>
      <w:r>
        <w:rPr>
          <w:rFonts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 xml:space="preserve">  </w:t>
      </w:r>
      <w:r>
        <w:rPr>
          <w:rFonts w:ascii="Times New Roman" w:hAnsi="方正仿宋_GBK" w:eastAsia="方正仿宋_GBK"/>
          <w:sz w:val="32"/>
          <w:szCs w:val="32"/>
        </w:rPr>
        <w:t>日</w:t>
      </w:r>
    </w:p>
    <w:p>
      <w:pPr>
        <w:ind w:left="-210" w:leftChars="-100" w:right="-210" w:rightChars="-100" w:firstLine="1264"/>
        <w:jc w:val="center"/>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36"/>
          <w:szCs w:val="36"/>
        </w:rPr>
      </w:pPr>
    </w:p>
    <w:p>
      <w:pPr>
        <w:ind w:left="-708" w:leftChars="-337" w:right="-758" w:rightChars="-361" w:firstLine="1264"/>
        <w:rPr>
          <w:rFonts w:ascii="Times New Roman" w:hAnsi="Times New Roman"/>
          <w:sz w:val="28"/>
        </w:rPr>
      </w:pPr>
    </w:p>
    <w:p>
      <w:pPr>
        <w:ind w:right="-758" w:rightChars="-361"/>
        <w:rPr>
          <w:rFonts w:ascii="Times New Roman" w:hAnsi="Times New Roman"/>
          <w:sz w:val="28"/>
        </w:rPr>
      </w:pPr>
    </w:p>
    <w:p>
      <w:pPr>
        <w:ind w:left="-708" w:leftChars="-337" w:right="-758" w:rightChars="-361" w:firstLine="1264"/>
        <w:rPr>
          <w:rFonts w:ascii="Times New Roman" w:hAnsi="Times New Roman"/>
          <w:sz w:val="28"/>
        </w:rPr>
      </w:pPr>
    </w:p>
    <w:p>
      <w:pPr>
        <w:ind w:left="-708" w:leftChars="-337" w:right="-758" w:rightChars="-361" w:firstLine="1264"/>
        <w:rPr>
          <w:rFonts w:ascii="Times New Roman" w:hAnsi="Times New Roman"/>
          <w:sz w:val="28"/>
        </w:rPr>
      </w:pPr>
    </w:p>
    <w:p>
      <w:pPr>
        <w:rPr>
          <w:rFonts w:ascii="Times New Roman" w:eastAsia="黑体"/>
          <w:sz w:val="28"/>
          <w:szCs w:val="28"/>
        </w:rPr>
        <w:sectPr>
          <w:footerReference r:id="rId5" w:type="default"/>
          <w:pgSz w:w="11906" w:h="16838"/>
          <w:pgMar w:top="1440" w:right="1797" w:bottom="1440" w:left="1797" w:header="851" w:footer="992" w:gutter="0"/>
          <w:pgNumType w:start="1"/>
          <w:cols w:space="425" w:num="1"/>
          <w:docGrid w:type="lines" w:linePitch="286" w:charSpace="0"/>
        </w:sectPr>
      </w:pPr>
    </w:p>
    <w:p>
      <w:pPr>
        <w:rPr>
          <w:rFonts w:ascii="Times New Roman" w:hAnsi="Times New Roman" w:eastAsia="黑体"/>
          <w:sz w:val="28"/>
          <w:szCs w:val="28"/>
        </w:rPr>
      </w:pPr>
      <w:r>
        <w:rPr>
          <w:rFonts w:ascii="Times New Roman" w:eastAsia="黑体"/>
          <w:sz w:val="28"/>
          <w:szCs w:val="28"/>
        </w:rPr>
        <w:t>第一部分：拟转移废物基本情况</w:t>
      </w:r>
    </w:p>
    <w:tbl>
      <w:tblPr>
        <w:tblStyle w:val="7"/>
        <w:tblW w:w="9144"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238"/>
        <w:gridCol w:w="1755"/>
        <w:gridCol w:w="14"/>
        <w:gridCol w:w="1414"/>
        <w:gridCol w:w="266"/>
        <w:gridCol w:w="2014"/>
        <w:gridCol w:w="191"/>
        <w:gridCol w:w="168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44" w:type="dxa"/>
            <w:gridSpan w:val="10"/>
          </w:tcPr>
          <w:p>
            <w:pPr>
              <w:rPr>
                <w:rFonts w:ascii="Times New Roman" w:hAnsi="Times New Roman" w:eastAsia="黑体"/>
                <w:sz w:val="24"/>
                <w:szCs w:val="24"/>
              </w:rPr>
            </w:pPr>
            <w:r>
              <w:rPr>
                <w:rFonts w:ascii="Times New Roman" w:eastAsia="黑体"/>
                <w:sz w:val="24"/>
                <w:szCs w:val="24"/>
              </w:rPr>
              <w:t>表</w:t>
            </w:r>
            <w:r>
              <w:rPr>
                <w:rFonts w:ascii="Times New Roman" w:hAnsi="Times New Roman" w:eastAsia="黑体"/>
                <w:sz w:val="24"/>
                <w:szCs w:val="24"/>
              </w:rPr>
              <w:t xml:space="preserve">1 </w:t>
            </w:r>
            <w:r>
              <w:rPr>
                <w:rFonts w:ascii="Times New Roman" w:eastAsia="黑体"/>
                <w:sz w:val="24"/>
                <w:szCs w:val="24"/>
              </w:rPr>
              <w:t>废物产生情况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2" w:hRule="atLeast"/>
        </w:trPr>
        <w:tc>
          <w:tcPr>
            <w:tcW w:w="9144" w:type="dxa"/>
            <w:gridSpan w:val="10"/>
          </w:tcPr>
          <w:p>
            <w:pPr>
              <w:spacing w:line="360" w:lineRule="auto"/>
              <w:jc w:val="left"/>
              <w:rPr>
                <w:rFonts w:hint="eastAsia" w:cs="Times New Roman"/>
              </w:rPr>
            </w:pPr>
            <w:r>
              <w:rPr>
                <w:rFonts w:hint="eastAsia" w:cs="Times New Roman"/>
              </w:rPr>
              <w:t>废物产生企业概况（企业投产时间、主要经营范围及规模）：</w:t>
            </w:r>
          </w:p>
          <w:p>
            <w:pPr>
              <w:spacing w:line="360" w:lineRule="auto"/>
              <w:ind w:firstLine="420" w:firstLineChars="200"/>
              <w:jc w:val="left"/>
              <w:rPr>
                <w:rFonts w:hint="eastAsia" w:cs="Times New Roman"/>
                <w:lang w:val="en-US" w:eastAsia="zh-CN"/>
              </w:rPr>
            </w:pPr>
            <w:r>
              <w:rPr>
                <w:rFonts w:hint="eastAsia" w:cs="Times New Roman"/>
              </w:rPr>
              <w:t>江苏烁源新材料科技有限公司</w:t>
            </w:r>
            <w:r>
              <w:rPr>
                <w:rFonts w:hint="eastAsia" w:cs="Times New Roman"/>
                <w:lang w:val="en-US" w:eastAsia="zh-CN"/>
              </w:rPr>
              <w:t>正式</w:t>
            </w:r>
            <w:r>
              <w:rPr>
                <w:rFonts w:hint="eastAsia" w:cs="Times New Roman"/>
              </w:rPr>
              <w:t>成立于2018年，</w:t>
            </w:r>
            <w:r>
              <w:rPr>
                <w:rFonts w:hint="eastAsia" w:cs="Times New Roman"/>
                <w:lang w:val="en-US" w:eastAsia="zh-CN"/>
              </w:rPr>
              <w:t>并于2019年10月正式投产。公司</w:t>
            </w:r>
            <w:r>
              <w:rPr>
                <w:rFonts w:hint="eastAsia" w:cs="Times New Roman"/>
              </w:rPr>
              <w:t>位于常州市天宁区郑陆镇三河口工业园区，占地25亩。是专业从事铝棒原材料销售及挤压回料再加工的循环经济企业，能为客户提供不同规格的铝合金圆铸棒。</w:t>
            </w:r>
            <w:r>
              <w:rPr>
                <w:rFonts w:hint="eastAsia" w:cs="Times New Roman"/>
                <w:lang w:val="en-US" w:eastAsia="zh-CN"/>
              </w:rPr>
              <w:t>产品具有比重小、强度高、耐腐蚀、可回收、价格适中等优势，在运输、化工、机械、建筑、轻工业等领域得到广泛应用。</w:t>
            </w:r>
          </w:p>
          <w:p>
            <w:pPr>
              <w:spacing w:line="360" w:lineRule="auto"/>
              <w:ind w:firstLine="420" w:firstLineChars="200"/>
              <w:jc w:val="left"/>
              <w:rPr>
                <w:rFonts w:hint="eastAsia"/>
                <w:sz w:val="24"/>
                <w:szCs w:val="24"/>
                <w:lang w:val="en-US" w:eastAsia="zh-CN"/>
              </w:rPr>
            </w:pPr>
            <w:r>
              <w:rPr>
                <w:rFonts w:hint="eastAsia" w:cs="Times New Roman"/>
                <w:lang w:val="en-US" w:eastAsia="zh-CN"/>
              </w:rPr>
              <w:t>公司现已投资3500万元建设“年加工生产10万吨铝制品项目”的一期项目，拥有成熟的生产工艺和先进的生产设备，现已形成6.7万吨铝制品的生产能力，现有员工近60人，技术人员比例超过80%。随着二期项目的投入，产能和效率将得到进一步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144" w:type="dxa"/>
            <w:gridSpan w:val="10"/>
            <w:vAlign w:val="center"/>
          </w:tcPr>
          <w:p>
            <w:pPr>
              <w:spacing w:line="300" w:lineRule="exact"/>
              <w:rPr>
                <w:rFonts w:ascii="Times New Roman" w:hAnsi="Times New Roman"/>
                <w:szCs w:val="21"/>
              </w:rPr>
            </w:pPr>
            <w:r>
              <w:rPr>
                <w:rFonts w:ascii="Times New Roman"/>
                <w:szCs w:val="21"/>
              </w:rPr>
              <w:t>产品及产废情况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4984" w:type="dxa"/>
            <w:gridSpan w:val="5"/>
            <w:vAlign w:val="center"/>
          </w:tcPr>
          <w:p>
            <w:pPr>
              <w:spacing w:line="300" w:lineRule="exact"/>
              <w:jc w:val="center"/>
              <w:rPr>
                <w:rFonts w:ascii="Times New Roman" w:hAnsi="Times New Roman"/>
                <w:szCs w:val="21"/>
              </w:rPr>
            </w:pPr>
            <w:r>
              <w:rPr>
                <w:rFonts w:ascii="Times New Roman"/>
                <w:szCs w:val="21"/>
              </w:rPr>
              <w:t>产品情况</w:t>
            </w:r>
          </w:p>
        </w:tc>
        <w:tc>
          <w:tcPr>
            <w:tcW w:w="4160" w:type="dxa"/>
            <w:gridSpan w:val="5"/>
            <w:vAlign w:val="center"/>
          </w:tcPr>
          <w:p>
            <w:pPr>
              <w:spacing w:line="300" w:lineRule="exact"/>
              <w:jc w:val="center"/>
              <w:rPr>
                <w:rFonts w:ascii="Times New Roman" w:hAnsi="Times New Roman"/>
                <w:szCs w:val="21"/>
              </w:rPr>
            </w:pPr>
            <w:r>
              <w:rPr>
                <w:rFonts w:ascii="Times New Roman"/>
                <w:szCs w:val="21"/>
              </w:rPr>
              <w:t>产生危险废物情况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63" w:type="dxa"/>
            <w:vAlign w:val="center"/>
          </w:tcPr>
          <w:p>
            <w:pPr>
              <w:spacing w:line="300" w:lineRule="exact"/>
              <w:jc w:val="center"/>
              <w:rPr>
                <w:rFonts w:ascii="Times New Roman" w:hAnsi="Times New Roman"/>
                <w:szCs w:val="21"/>
              </w:rPr>
            </w:pPr>
            <w:r>
              <w:rPr>
                <w:rFonts w:ascii="Times New Roman"/>
                <w:szCs w:val="21"/>
              </w:rPr>
              <w:t>产品名称</w:t>
            </w:r>
          </w:p>
        </w:tc>
        <w:tc>
          <w:tcPr>
            <w:tcW w:w="1993" w:type="dxa"/>
            <w:gridSpan w:val="2"/>
            <w:vAlign w:val="center"/>
          </w:tcPr>
          <w:p>
            <w:pPr>
              <w:spacing w:line="300" w:lineRule="exact"/>
              <w:jc w:val="center"/>
              <w:rPr>
                <w:rFonts w:ascii="Times New Roman" w:hAnsi="Times New Roman"/>
                <w:szCs w:val="21"/>
              </w:rPr>
            </w:pPr>
            <w:r>
              <w:rPr>
                <w:rFonts w:ascii="Times New Roman"/>
                <w:szCs w:val="21"/>
              </w:rPr>
              <w:t>主要成分化学名</w:t>
            </w:r>
          </w:p>
        </w:tc>
        <w:tc>
          <w:tcPr>
            <w:tcW w:w="1428" w:type="dxa"/>
            <w:gridSpan w:val="2"/>
            <w:vAlign w:val="center"/>
          </w:tcPr>
          <w:p>
            <w:pPr>
              <w:spacing w:line="300" w:lineRule="exact"/>
              <w:jc w:val="center"/>
              <w:rPr>
                <w:rFonts w:ascii="Times New Roman" w:hAnsi="Times New Roman"/>
                <w:szCs w:val="21"/>
              </w:rPr>
            </w:pPr>
            <w:r>
              <w:rPr>
                <w:rFonts w:ascii="Times New Roman"/>
                <w:szCs w:val="21"/>
              </w:rPr>
              <w:t>年产量</w:t>
            </w:r>
          </w:p>
        </w:tc>
        <w:tc>
          <w:tcPr>
            <w:tcW w:w="2280" w:type="dxa"/>
            <w:gridSpan w:val="2"/>
            <w:vAlign w:val="center"/>
          </w:tcPr>
          <w:p>
            <w:pPr>
              <w:spacing w:line="300" w:lineRule="exact"/>
              <w:jc w:val="center"/>
              <w:rPr>
                <w:rFonts w:ascii="Times New Roman" w:hAnsi="Times New Roman"/>
                <w:szCs w:val="21"/>
              </w:rPr>
            </w:pPr>
            <w:r>
              <w:rPr>
                <w:rFonts w:ascii="Times New Roman"/>
                <w:szCs w:val="21"/>
              </w:rPr>
              <w:t>废物名称</w:t>
            </w:r>
          </w:p>
        </w:tc>
        <w:tc>
          <w:tcPr>
            <w:tcW w:w="1880" w:type="dxa"/>
            <w:gridSpan w:val="3"/>
            <w:vAlign w:val="center"/>
          </w:tcPr>
          <w:p>
            <w:pPr>
              <w:spacing w:line="300" w:lineRule="exact"/>
              <w:jc w:val="center"/>
              <w:rPr>
                <w:rFonts w:ascii="Times New Roman" w:hAnsi="Times New Roman"/>
                <w:szCs w:val="21"/>
              </w:rPr>
            </w:pPr>
            <w:r>
              <w:rPr>
                <w:rFonts w:ascii="Times New Roman"/>
                <w:szCs w:val="21"/>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60" w:lineRule="auto"/>
              <w:jc w:val="left"/>
              <w:rPr>
                <w:rFonts w:hint="default" w:ascii="Times New Roman" w:hAnsi="Times New Roman" w:eastAsia="宋体"/>
                <w:szCs w:val="24"/>
                <w:lang w:val="en-US" w:eastAsia="zh-CN"/>
              </w:rPr>
            </w:pPr>
            <w:r>
              <w:rPr>
                <w:rFonts w:hint="eastAsia" w:ascii="Times New Roman" w:hAnsi="Times New Roman"/>
                <w:szCs w:val="24"/>
                <w:lang w:val="en-US" w:eastAsia="zh-CN"/>
              </w:rPr>
              <w:t>铝合金圆铸棒</w:t>
            </w:r>
          </w:p>
        </w:tc>
        <w:tc>
          <w:tcPr>
            <w:tcW w:w="1993" w:type="dxa"/>
            <w:gridSpan w:val="2"/>
            <w:vMerge w:val="restart"/>
            <w:vAlign w:val="center"/>
          </w:tcPr>
          <w:p>
            <w:pPr>
              <w:spacing w:line="300" w:lineRule="exact"/>
              <w:jc w:val="center"/>
              <w:rPr>
                <w:rFonts w:hint="eastAsia" w:ascii="Times New Roman" w:hAnsi="Times New Roman" w:eastAsia="宋体"/>
                <w:szCs w:val="24"/>
                <w:lang w:val="en-US" w:eastAsia="zh-CN"/>
              </w:rPr>
            </w:pPr>
            <w:r>
              <w:rPr>
                <w:rFonts w:hint="eastAsia" w:ascii="Times New Roman" w:hAnsi="Times New Roman"/>
                <w:szCs w:val="24"/>
                <w:lang w:val="en-US" w:eastAsia="zh-CN"/>
              </w:rPr>
              <w:t>铝</w:t>
            </w:r>
          </w:p>
        </w:tc>
        <w:tc>
          <w:tcPr>
            <w:tcW w:w="1428" w:type="dxa"/>
            <w:gridSpan w:val="2"/>
            <w:vMerge w:val="restart"/>
            <w:vAlign w:val="center"/>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3万吨</w:t>
            </w:r>
          </w:p>
        </w:tc>
        <w:tc>
          <w:tcPr>
            <w:tcW w:w="2280" w:type="dxa"/>
            <w:gridSpan w:val="2"/>
            <w:vAlign w:val="center"/>
          </w:tcPr>
          <w:p>
            <w:pPr>
              <w:spacing w:line="300" w:lineRule="exact"/>
              <w:jc w:val="center"/>
              <w:rPr>
                <w:rFonts w:hint="eastAsia" w:ascii="Times New Roman" w:hAnsi="Times New Roman" w:eastAsia="宋体"/>
                <w:szCs w:val="24"/>
                <w:lang w:val="en-US" w:eastAsia="zh-CN"/>
              </w:rPr>
            </w:pPr>
            <w:r>
              <w:rPr>
                <w:rFonts w:hint="eastAsia" w:ascii="Times New Roman" w:hAnsi="Times New Roman"/>
                <w:szCs w:val="24"/>
                <w:lang w:val="en-US" w:eastAsia="zh-CN"/>
              </w:rPr>
              <w:t>铝灰渣</w:t>
            </w:r>
          </w:p>
        </w:tc>
        <w:tc>
          <w:tcPr>
            <w:tcW w:w="1880" w:type="dxa"/>
            <w:gridSpan w:val="3"/>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吸尘灰</w:t>
            </w:r>
          </w:p>
        </w:tc>
        <w:tc>
          <w:tcPr>
            <w:tcW w:w="1880" w:type="dxa"/>
            <w:gridSpan w:val="3"/>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75吨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563" w:type="dxa"/>
            <w:vMerge w:val="continue"/>
            <w:vAlign w:val="center"/>
          </w:tcPr>
          <w:p>
            <w:pPr>
              <w:spacing w:line="300" w:lineRule="exact"/>
              <w:jc w:val="center"/>
            </w:pPr>
          </w:p>
        </w:tc>
        <w:tc>
          <w:tcPr>
            <w:tcW w:w="1993" w:type="dxa"/>
            <w:gridSpan w:val="2"/>
            <w:vMerge w:val="continue"/>
            <w:vAlign w:val="center"/>
          </w:tcPr>
          <w:p>
            <w:pPr>
              <w:spacing w:line="300" w:lineRule="exact"/>
              <w:jc w:val="center"/>
            </w:pPr>
          </w:p>
        </w:tc>
        <w:tc>
          <w:tcPr>
            <w:tcW w:w="1428" w:type="dxa"/>
            <w:gridSpan w:val="2"/>
            <w:vMerge w:val="continue"/>
            <w:vAlign w:val="center"/>
          </w:tcPr>
          <w:p>
            <w:pPr>
              <w:spacing w:line="300" w:lineRule="exact"/>
              <w:jc w:val="cente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00" w:lineRule="exact"/>
              <w:jc w:val="center"/>
              <w:rPr>
                <w:rFonts w:ascii="Times New Roman" w:hAnsi="Times New Roman"/>
                <w:szCs w:val="24"/>
              </w:rPr>
            </w:pPr>
          </w:p>
        </w:tc>
        <w:tc>
          <w:tcPr>
            <w:tcW w:w="1993" w:type="dxa"/>
            <w:gridSpan w:val="2"/>
            <w:vMerge w:val="restart"/>
            <w:vAlign w:val="center"/>
          </w:tcPr>
          <w:p>
            <w:pPr>
              <w:spacing w:line="300" w:lineRule="exact"/>
              <w:rPr>
                <w:rFonts w:ascii="Times New Roman" w:hAnsi="Times New Roman"/>
                <w:szCs w:val="24"/>
              </w:rPr>
            </w:pPr>
          </w:p>
        </w:tc>
        <w:tc>
          <w:tcPr>
            <w:tcW w:w="1428" w:type="dxa"/>
            <w:gridSpan w:val="2"/>
            <w:vMerge w:val="restart"/>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00" w:lineRule="exact"/>
              <w:rPr>
                <w:rFonts w:ascii="Times New Roman" w:hAnsi="Times New Roman"/>
                <w:szCs w:val="24"/>
              </w:rPr>
            </w:pPr>
          </w:p>
        </w:tc>
        <w:tc>
          <w:tcPr>
            <w:tcW w:w="1993" w:type="dxa"/>
            <w:gridSpan w:val="2"/>
            <w:vMerge w:val="restart"/>
            <w:vAlign w:val="center"/>
          </w:tcPr>
          <w:p>
            <w:pPr>
              <w:spacing w:line="300" w:lineRule="exact"/>
              <w:jc w:val="center"/>
              <w:rPr>
                <w:rFonts w:ascii="Times New Roman" w:hAnsi="Times New Roman"/>
                <w:szCs w:val="24"/>
              </w:rPr>
            </w:pPr>
          </w:p>
        </w:tc>
        <w:tc>
          <w:tcPr>
            <w:tcW w:w="1428" w:type="dxa"/>
            <w:gridSpan w:val="2"/>
            <w:vMerge w:val="restart"/>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144" w:type="dxa"/>
            <w:gridSpan w:val="10"/>
            <w:vAlign w:val="center"/>
          </w:tcPr>
          <w:p>
            <w:pPr>
              <w:spacing w:line="300" w:lineRule="exact"/>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2 </w:t>
            </w:r>
            <w:r>
              <w:rPr>
                <w:rFonts w:ascii="Times New Roman" w:eastAsia="黑体"/>
                <w:sz w:val="24"/>
                <w:szCs w:val="24"/>
              </w:rPr>
              <w:t>与申请转移废物相关的生产工艺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78" w:hRule="atLeast"/>
        </w:trPr>
        <w:tc>
          <w:tcPr>
            <w:tcW w:w="9144" w:type="dxa"/>
            <w:gridSpan w:val="10"/>
          </w:tcPr>
          <w:p>
            <w:pPr>
              <w:spacing w:line="300" w:lineRule="exact"/>
            </w:pPr>
            <w:r>
              <w:t>文字描述及工艺流程图</w:t>
            </w:r>
            <w:r>
              <w:pict>
                <v:shape id="_x0000_s1027" o:spid="_x0000_s1027" o:spt="75" type="#_x0000_t75" style="position:absolute;left:0pt;margin-left:35.8pt;margin-top:60.6pt;height:451.45pt;width:387.65pt;z-index:251660288;mso-width-relative:page;mso-height-relative:page;" o:ole="t" filled="f" o:preferrelative="t" stroked="f" coordsize="21600,21600">
                  <v:path/>
                  <v:fill on="f" focussize="0,0"/>
                  <v:stroke on="f"/>
                  <v:imagedata r:id="rId9" o:title=""/>
                  <o:lock v:ext="edit" aspectratio="f"/>
                </v:shape>
                <o:OLEObject Type="Embed" ProgID="" ShapeID="_x0000_s1027" DrawAspect="Content" ObjectID="_1468075725" r:id="rId8">
                  <o:LockedField>false</o:LockedField>
                </o:OLEObject>
              </w:pict>
            </w:r>
          </w:p>
          <w:p>
            <w:pPr>
              <w:spacing w:line="300" w:lineRule="exact"/>
            </w:pPr>
          </w:p>
          <w:p>
            <w:pPr>
              <w:spacing w:line="300" w:lineRule="exact"/>
            </w:pPr>
            <w:r>
              <w:rPr>
                <w:rFonts w:hint="eastAsia"/>
                <w:lang w:eastAsia="zh-CN"/>
              </w:rPr>
              <w:t>铝棒材生产工艺主要有：装炉、熔炼、浇铸以及切割</w:t>
            </w:r>
            <w:r>
              <w:rPr>
                <w:rFonts w:hint="eastAsia"/>
              </w:rPr>
              <w:t>。</w:t>
            </w: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pStyle w:val="9"/>
              <w:rPr>
                <w:rFonts w:ascii="Times New Roman" w:hAnsi="Times New Roman"/>
                <w:szCs w:val="24"/>
              </w:rPr>
            </w:pPr>
          </w:p>
          <w:p>
            <w:pPr>
              <w:pStyle w:val="9"/>
              <w:rPr>
                <w:rFonts w:ascii="Times New Roman" w:hAnsi="Times New Roman"/>
                <w:szCs w:val="24"/>
              </w:rPr>
            </w:pPr>
          </w:p>
          <w:p>
            <w:pPr>
              <w:pStyle w:val="9"/>
              <w:rPr>
                <w:rFonts w:ascii="Times New Roman" w:hAnsi="Times New Roman"/>
                <w:szCs w:val="24"/>
              </w:rPr>
            </w:pPr>
          </w:p>
          <w:p>
            <w:pPr>
              <w:pStyle w:val="9"/>
              <w:rPr>
                <w:rFonts w:ascii="Times New Roman" w:hAnsi="Times New Roman"/>
                <w:szCs w:val="24"/>
              </w:rPr>
            </w:pPr>
          </w:p>
          <w:p>
            <w:pPr>
              <w:widowControl w:val="0"/>
              <w:spacing w:line="240" w:lineRule="auto"/>
              <w:ind w:firstLine="3795" w:firstLineChars="1800"/>
              <w:rPr>
                <w:b/>
                <w:bCs/>
                <w:color w:val="000000"/>
                <w:sz w:val="24"/>
                <w:szCs w:val="24"/>
              </w:rPr>
            </w:pPr>
            <w:r>
              <w:rPr>
                <w:rFonts w:hint="eastAsia"/>
                <w:b/>
                <w:bCs/>
                <w:lang w:eastAsia="zh-CN"/>
              </w:rPr>
              <w:t>（</w:t>
            </w:r>
            <w:r>
              <w:rPr>
                <w:b/>
                <w:bCs/>
              </w:rPr>
              <w:t>工艺流程图</w:t>
            </w:r>
            <w:r>
              <w:rPr>
                <w:rFonts w:hint="eastAsia"/>
                <w:b/>
                <w:bCs/>
                <w:lang w:eastAsia="zh-CN"/>
              </w:rPr>
              <w:t>）</w:t>
            </w:r>
          </w:p>
          <w:p>
            <w:pPr>
              <w:widowControl w:val="0"/>
              <w:spacing w:line="240" w:lineRule="auto"/>
              <w:ind w:firstLine="482" w:firstLineChars="200"/>
              <w:rPr>
                <w:b/>
                <w:bCs/>
                <w:color w:val="000000"/>
                <w:sz w:val="24"/>
                <w:szCs w:val="24"/>
              </w:rPr>
            </w:pPr>
          </w:p>
          <w:p>
            <w:pPr>
              <w:widowControl w:val="0"/>
              <w:spacing w:line="240" w:lineRule="auto"/>
              <w:ind w:firstLine="482" w:firstLineChars="200"/>
              <w:rPr>
                <w:b/>
                <w:bCs/>
                <w:sz w:val="24"/>
                <w:szCs w:val="24"/>
              </w:rPr>
            </w:pPr>
            <w:r>
              <w:rPr>
                <w:b/>
                <w:bCs/>
                <w:color w:val="000000"/>
                <w:sz w:val="24"/>
                <w:szCs w:val="24"/>
              </w:rPr>
              <w:t>工艺流程简述：</w:t>
            </w:r>
            <w:r>
              <w:rPr>
                <w:rFonts w:hint="eastAsia"/>
                <w:b/>
                <w:bCs/>
                <w:color w:val="000000"/>
                <w:sz w:val="24"/>
                <w:szCs w:val="24"/>
              </w:rPr>
              <w:t xml:space="preserve">                                                    </w:t>
            </w:r>
          </w:p>
          <w:p>
            <w:pPr>
              <w:spacing w:line="360" w:lineRule="auto"/>
              <w:ind w:firstLine="420" w:firstLineChars="200"/>
              <w:jc w:val="left"/>
              <w:rPr>
                <w:rFonts w:hint="eastAsia" w:cs="Times New Roman"/>
                <w:lang w:val="en-US" w:eastAsia="zh-CN"/>
              </w:rPr>
            </w:pPr>
            <w:r>
              <w:rPr>
                <w:rFonts w:hint="eastAsia" w:cs="Times New Roman"/>
                <w:lang w:val="en-US" w:eastAsia="zh-CN"/>
              </w:rPr>
              <w:t>1、装炉</w:t>
            </w:r>
          </w:p>
          <w:p>
            <w:pPr>
              <w:spacing w:line="360" w:lineRule="auto"/>
              <w:ind w:firstLine="420" w:firstLineChars="200"/>
              <w:jc w:val="left"/>
              <w:rPr>
                <w:rFonts w:hint="eastAsia" w:cs="Times New Roman"/>
              </w:rPr>
            </w:pPr>
            <w:r>
              <w:rPr>
                <w:rFonts w:hint="eastAsia" w:cs="Times New Roman"/>
              </w:rPr>
              <w:t>将外购的铝料（99.7%铝锭）采用铲车投料方式加入熔化炉</w:t>
            </w:r>
            <w:r>
              <w:rPr>
                <w:rFonts w:hint="eastAsia" w:cs="Times New Roman"/>
                <w:lang w:eastAsia="zh-CN"/>
              </w:rPr>
              <w:t>。</w:t>
            </w:r>
            <w:r>
              <w:rPr>
                <w:rFonts w:hint="eastAsia" w:cs="Times New Roman"/>
              </w:rPr>
              <w:t>装炉过程中炉门口会有烟尘等废气从炉门口逸出，炉门口设有集气罩，烟尘等废气通过集气罩抽到</w:t>
            </w:r>
            <w:r>
              <w:rPr>
                <w:rFonts w:hint="eastAsia" w:cs="Times New Roman"/>
                <w:lang w:val="en-US" w:eastAsia="zh-CN"/>
              </w:rPr>
              <w:t>一</w:t>
            </w:r>
            <w:r>
              <w:rPr>
                <w:rFonts w:hint="eastAsia" w:cs="Times New Roman"/>
              </w:rPr>
              <w:t>套“</w:t>
            </w:r>
            <w:r>
              <w:rPr>
                <w:rFonts w:hint="eastAsia" w:cs="Times New Roman"/>
                <w:lang w:val="en-US" w:eastAsia="zh-CN"/>
              </w:rPr>
              <w:t>重力沉降</w:t>
            </w:r>
            <w:r>
              <w:rPr>
                <w:rFonts w:hint="eastAsia" w:cs="Times New Roman"/>
              </w:rPr>
              <w:t>+布袋除尘器+水喷淋（加氯化钙）”处理，经15m高1#排气筒高空排放</w:t>
            </w:r>
            <w:r>
              <w:rPr>
                <w:rFonts w:hint="eastAsia" w:cs="Times New Roman"/>
                <w:lang w:eastAsia="zh-CN"/>
              </w:rPr>
              <w:t>。</w:t>
            </w:r>
          </w:p>
          <w:p>
            <w:pPr>
              <w:pStyle w:val="9"/>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32" w:hRule="atLeast"/>
        </w:trPr>
        <w:tc>
          <w:tcPr>
            <w:tcW w:w="9135" w:type="dxa"/>
            <w:gridSpan w:val="9"/>
            <w:vAlign w:val="center"/>
          </w:tcPr>
          <w:p>
            <w:pPr>
              <w:spacing w:line="360" w:lineRule="auto"/>
              <w:ind w:firstLine="420" w:firstLineChars="200"/>
              <w:jc w:val="left"/>
              <w:rPr>
                <w:rFonts w:hint="eastAsia" w:cs="Times New Roman"/>
                <w:lang w:val="en-US" w:eastAsia="zh-CN"/>
              </w:rPr>
            </w:pPr>
            <w:r>
              <w:rPr>
                <w:rFonts w:hint="eastAsia" w:cs="Times New Roman"/>
                <w:lang w:val="en-US" w:eastAsia="zh-CN"/>
              </w:rPr>
              <w:t>2、熔炼工艺</w:t>
            </w:r>
          </w:p>
          <w:p>
            <w:pPr>
              <w:spacing w:line="360" w:lineRule="auto"/>
              <w:ind w:firstLine="420" w:firstLineChars="200"/>
              <w:jc w:val="left"/>
              <w:rPr>
                <w:rFonts w:hint="eastAsia" w:cs="Times New Roman"/>
                <w:lang w:eastAsia="zh-CN"/>
              </w:rPr>
            </w:pPr>
            <w:r>
              <w:rPr>
                <w:rFonts w:hint="eastAsia" w:cs="Times New Roman"/>
              </w:rPr>
              <w:t>熔化、精炼工序简称熔炼，均在熔炼炉中进行，本项目使用的熔炼炉为蓄热式熔铝炉，使用天然气为燃料。该工序是把投入熔炉中某种配比的金属炉料经过加热和熔化得到熔体，并在熔炼过程中采取措施控制气体及氧化夹杂物的含量，再对熔化的熔体进行成分调整，得到合乎要求的合金液体，使之符合规定成分</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rPr>
              <w:t>熔化废气、天然气燃烧废气通过熔炼炉上的两个烧嘴直接排到烟气管道内收集；熔炼炉采用自动提升（斜）炉门，炉门开口尺寸较大，方便从炉门口投料及扒渣、炉门开启及关闭全部自动化。根据</w:t>
            </w:r>
            <w:r>
              <w:rPr>
                <w:rFonts w:hint="eastAsia" w:cs="Times New Roman"/>
                <w:lang w:val="en-US" w:eastAsia="zh-CN"/>
              </w:rPr>
              <w:t>企业</w:t>
            </w:r>
            <w:r>
              <w:rPr>
                <w:rFonts w:hint="eastAsia" w:cs="Times New Roman"/>
              </w:rPr>
              <w:t>提供资料，炉门平均每炉开启次数为4次，每次约10min</w:t>
            </w:r>
            <w:r>
              <w:rPr>
                <w:rFonts w:hint="eastAsia" w:cs="Times New Roman"/>
                <w:lang w:eastAsia="zh-CN"/>
              </w:rPr>
              <w:t>，</w:t>
            </w:r>
            <w:r>
              <w:rPr>
                <w:rFonts w:hint="eastAsia" w:cs="Times New Roman"/>
              </w:rPr>
              <w:t>铝料经熔化工序熔化后进行精炼处理</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rPr>
              <w:t>除杂除气过程即为精炼过程，主要采用添加精炼剂、通气（通入惰性气体）、真空处理、超声波处理等方法完成。通气精炼可去除熔体中的氧化物和其他不溶杂质；盐类精炼可去除熔体中的气体和非金属夹杂物。本项目采用的是惰性气体吹脱法和盐类精炼法</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lang w:eastAsia="zh-CN"/>
              </w:rPr>
              <w:t>在精炼工序中用熔剂熔炼会产生一定量的熔渣浮于表面，浮渣对熔体有保护作用，但浮渣太多又会影响热传递，因此浮渣要定时耙出，通过机械方式清除（俗称“扒渣”）。</w:t>
            </w:r>
          </w:p>
          <w:p>
            <w:pPr>
              <w:spacing w:line="360" w:lineRule="auto"/>
              <w:ind w:firstLine="420" w:firstLineChars="200"/>
              <w:jc w:val="left"/>
              <w:rPr>
                <w:rFonts w:hint="eastAsia" w:cs="Times New Roman"/>
                <w:lang w:eastAsia="zh-CN"/>
              </w:rPr>
            </w:pPr>
            <w:r>
              <w:rPr>
                <w:rFonts w:hint="eastAsia" w:cs="Times New Roman"/>
                <w:lang w:eastAsia="zh-CN"/>
              </w:rPr>
              <w:t>综上所述，熔炼工序采用天然气加热，天然气燃烧产生SO2、NOx、烟尘等，熔炼过程有烟（粉）尘、NOx、氟化物等产生，开炉、扒渣过程有NOx、烟（粉）尘、氟化物等产生，天然气燃烧烟气、熔炼废气、开炉扒渣废气统一以G1表示。本</w:t>
            </w:r>
            <w:r>
              <w:rPr>
                <w:rFonts w:hint="eastAsia" w:cs="Times New Roman"/>
                <w:lang w:val="en-US" w:eastAsia="zh-CN"/>
              </w:rPr>
              <w:t>次验收</w:t>
            </w:r>
            <w:r>
              <w:rPr>
                <w:rFonts w:hint="eastAsia" w:cs="Times New Roman"/>
                <w:lang w:eastAsia="zh-CN"/>
              </w:rPr>
              <w:t>项目</w:t>
            </w:r>
            <w:r>
              <w:rPr>
                <w:rFonts w:hint="eastAsia" w:cs="Times New Roman"/>
                <w:lang w:val="en-US" w:eastAsia="zh-CN"/>
              </w:rPr>
              <w:t>实际已建成天然气熔化炉（25T）2套，</w:t>
            </w:r>
            <w:r>
              <w:rPr>
                <w:rFonts w:hint="eastAsia" w:cs="Times New Roman"/>
                <w:lang w:eastAsia="zh-CN"/>
              </w:rPr>
              <w:t>配套</w:t>
            </w:r>
            <w:r>
              <w:rPr>
                <w:rFonts w:hint="eastAsia" w:cs="Times New Roman"/>
                <w:lang w:val="en-US" w:eastAsia="zh-CN"/>
              </w:rPr>
              <w:t>有</w:t>
            </w:r>
            <w:r>
              <w:rPr>
                <w:rFonts w:hint="eastAsia" w:cs="Times New Roman"/>
                <w:lang w:eastAsia="zh-CN"/>
              </w:rPr>
              <w:t>1套</w:t>
            </w:r>
            <w:r>
              <w:rPr>
                <w:rFonts w:hint="eastAsia" w:cs="Times New Roman"/>
                <w:lang w:val="en-US" w:eastAsia="zh-CN"/>
              </w:rPr>
              <w:t>重力沉降</w:t>
            </w:r>
            <w:r>
              <w:rPr>
                <w:rFonts w:hint="eastAsia" w:cs="Times New Roman"/>
                <w:lang w:eastAsia="zh-CN"/>
              </w:rPr>
              <w:t>+布袋除尘+水喷淋（加氯化钙）装置。天然气燃烧烟气、熔炼废气通过熔炼炉上的两个烧嘴直接排到烟气管道内收集，开炉、扒渣废气通过炉门口的集气罩收集，收集后通过旋风收尘+布袋除尘+水喷淋（加氯化钙）装置处理后，经1根15m高排气筒排放。旋风收尘+布袋除尘装置产生除尘灰（S1），水喷淋（加氯化钙）装置产生氟化钙等污泥（S2），整个熔炼扒渣过程产生炉渣（S3）。</w:t>
            </w:r>
          </w:p>
          <w:p>
            <w:pPr>
              <w:spacing w:line="360" w:lineRule="auto"/>
              <w:ind w:firstLine="420" w:firstLineChars="200"/>
              <w:jc w:val="left"/>
              <w:rPr>
                <w:rFonts w:hint="eastAsia" w:cs="Times New Roman"/>
                <w:lang w:val="en-US" w:eastAsia="zh-CN"/>
              </w:rPr>
            </w:pPr>
            <w:r>
              <w:rPr>
                <w:rFonts w:hint="eastAsia" w:cs="Times New Roman"/>
                <w:lang w:val="en-US" w:eastAsia="zh-CN"/>
              </w:rPr>
              <w:t>3、浇铸</w:t>
            </w:r>
          </w:p>
          <w:p>
            <w:pPr>
              <w:spacing w:line="360" w:lineRule="auto"/>
              <w:ind w:firstLine="420" w:firstLineChars="200"/>
              <w:jc w:val="left"/>
              <w:rPr>
                <w:rFonts w:hint="eastAsia" w:cs="Times New Roman"/>
                <w:lang w:eastAsia="zh-CN"/>
              </w:rPr>
            </w:pPr>
            <w:r>
              <w:rPr>
                <w:rFonts w:hint="eastAsia" w:cs="Times New Roman"/>
              </w:rPr>
              <w:t>熔炼炉内铝液检验合格后，静置20分钟再进行浇铸。静置后的铝液（或称铝汤）从流道口放汤至模具内，放汤过程通过流量阀大小控制流速和液位高度，同时控制温度等其他参数。放液口和铸模用流槽连接，整个浇铸过程约1h，浇铸完成后约得到约80根规格的铝棒材，浇铸采用水冷工艺，整个浇铸过程结束后，开始新一炉的装炉熔炼过程。铝棒材冷却后收缩自行脱模，不需使用脱模剂，无模砂产生。浇铸过程中产生烟尘（G2），经集气罩收集后与G1废气一并处理</w:t>
            </w:r>
            <w:r>
              <w:rPr>
                <w:rFonts w:hint="eastAsia" w:cs="Times New Roman"/>
                <w:lang w:eastAsia="zh-CN"/>
              </w:rPr>
              <w:t>。</w:t>
            </w:r>
          </w:p>
          <w:p>
            <w:pPr>
              <w:spacing w:line="360" w:lineRule="auto"/>
              <w:ind w:firstLine="420" w:firstLineChars="200"/>
              <w:jc w:val="left"/>
              <w:rPr>
                <w:rFonts w:hint="default" w:cs="Times New Roman"/>
                <w:lang w:val="en-US" w:eastAsia="zh-CN"/>
              </w:rPr>
            </w:pPr>
            <w:r>
              <w:rPr>
                <w:rFonts w:hint="eastAsia" w:cs="Times New Roman"/>
                <w:lang w:val="en-US" w:eastAsia="zh-CN"/>
              </w:rPr>
              <w:t>4、切割</w:t>
            </w:r>
          </w:p>
          <w:p>
            <w:pPr>
              <w:spacing w:line="360" w:lineRule="auto"/>
              <w:ind w:firstLine="420" w:firstLineChars="200"/>
              <w:jc w:val="left"/>
              <w:rPr>
                <w:rFonts w:ascii="Times New Roman" w:eastAsia="黑体"/>
                <w:sz w:val="24"/>
                <w:szCs w:val="24"/>
              </w:rPr>
            </w:pPr>
            <w:r>
              <w:rPr>
                <w:rFonts w:hint="eastAsia" w:cs="Times New Roman"/>
              </w:rPr>
              <w:t>铝棒切割成规定型号即为成品，该工段产生</w:t>
            </w:r>
            <w:r>
              <w:rPr>
                <w:rFonts w:hint="eastAsia" w:cs="Times New Roman"/>
                <w:lang w:val="en-US" w:eastAsia="zh-CN"/>
              </w:rPr>
              <w:t>极</w:t>
            </w:r>
            <w:r>
              <w:rPr>
                <w:rFonts w:hint="eastAsia" w:cs="Times New Roman"/>
              </w:rPr>
              <w:t>少量切割油雾（G2）（VOCs）。该工段同时产生少量切头（S4）和少量切削液（S5），少量切头回炉重新用于生产。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11" w:hRule="atLeast"/>
        </w:trPr>
        <w:tc>
          <w:tcPr>
            <w:tcW w:w="9135" w:type="dxa"/>
            <w:gridSpan w:val="9"/>
            <w:vAlign w:val="center"/>
          </w:tcPr>
          <w:p>
            <w:pPr>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3   </w:t>
            </w:r>
            <w:r>
              <w:rPr>
                <w:rFonts w:ascii="Times New Roman" w:eastAsia="黑体"/>
                <w:sz w:val="24"/>
                <w:szCs w:val="24"/>
              </w:rPr>
              <w:t>废物组分、特性（详见附件）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11" w:hRule="atLeast"/>
        </w:trPr>
        <w:tc>
          <w:tcPr>
            <w:tcW w:w="1801" w:type="dxa"/>
            <w:gridSpan w:val="2"/>
            <w:vAlign w:val="center"/>
          </w:tcPr>
          <w:p>
            <w:pPr>
              <w:spacing w:line="240" w:lineRule="auto"/>
              <w:ind w:firstLine="210" w:firstLineChars="100"/>
              <w:rPr>
                <w:rFonts w:ascii="Times New Roman" w:hAnsi="Times New Roman"/>
                <w:szCs w:val="21"/>
              </w:rPr>
            </w:pPr>
            <w:r>
              <w:rPr>
                <w:rFonts w:ascii="Times New Roman" w:hAnsi="宋体"/>
                <w:szCs w:val="21"/>
              </w:rPr>
              <w:t>废物名称</w:t>
            </w:r>
          </w:p>
        </w:tc>
        <w:tc>
          <w:tcPr>
            <w:tcW w:w="1769" w:type="dxa"/>
            <w:gridSpan w:val="2"/>
            <w:vAlign w:val="center"/>
          </w:tcPr>
          <w:p>
            <w:pPr>
              <w:spacing w:line="240" w:lineRule="auto"/>
              <w:ind w:firstLine="210" w:firstLineChars="100"/>
              <w:rPr>
                <w:rFonts w:ascii="Times New Roman" w:hAnsi="Times New Roman"/>
                <w:szCs w:val="21"/>
              </w:rPr>
            </w:pPr>
            <w:r>
              <w:rPr>
                <w:rFonts w:ascii="Times New Roman" w:hAnsi="宋体"/>
                <w:szCs w:val="21"/>
              </w:rPr>
              <w:t>主要组分</w:t>
            </w:r>
          </w:p>
        </w:tc>
        <w:tc>
          <w:tcPr>
            <w:tcW w:w="1680" w:type="dxa"/>
            <w:gridSpan w:val="2"/>
            <w:vAlign w:val="center"/>
          </w:tcPr>
          <w:p>
            <w:pPr>
              <w:spacing w:line="240" w:lineRule="auto"/>
              <w:rPr>
                <w:rFonts w:ascii="Times New Roman" w:hAnsi="Times New Roman"/>
                <w:szCs w:val="21"/>
              </w:rPr>
            </w:pPr>
            <w:r>
              <w:rPr>
                <w:rFonts w:ascii="Times New Roman" w:hAnsi="宋体"/>
                <w:szCs w:val="21"/>
              </w:rPr>
              <w:t>相应比例（</w:t>
            </w:r>
            <w:r>
              <w:rPr>
                <w:rFonts w:ascii="Times New Roman" w:hAnsi="Times New Roman"/>
                <w:szCs w:val="21"/>
              </w:rPr>
              <w:t>%</w:t>
            </w:r>
            <w:r>
              <w:rPr>
                <w:rFonts w:ascii="Times New Roman" w:hAnsi="宋体"/>
                <w:szCs w:val="21"/>
              </w:rPr>
              <w:t>）</w:t>
            </w:r>
          </w:p>
        </w:tc>
        <w:tc>
          <w:tcPr>
            <w:tcW w:w="2205" w:type="dxa"/>
            <w:gridSpan w:val="2"/>
            <w:vAlign w:val="center"/>
          </w:tcPr>
          <w:p>
            <w:pPr>
              <w:spacing w:line="240" w:lineRule="auto"/>
              <w:ind w:firstLine="630" w:firstLineChars="300"/>
              <w:rPr>
                <w:rFonts w:ascii="Times New Roman" w:hAnsi="Times New Roman"/>
                <w:szCs w:val="21"/>
              </w:rPr>
            </w:pPr>
            <w:r>
              <w:rPr>
                <w:rFonts w:ascii="Times New Roman" w:hAnsi="宋体"/>
                <w:szCs w:val="21"/>
              </w:rPr>
              <w:t>危害特性</w:t>
            </w:r>
          </w:p>
        </w:tc>
        <w:tc>
          <w:tcPr>
            <w:tcW w:w="1680" w:type="dxa"/>
            <w:vAlign w:val="center"/>
          </w:tcPr>
          <w:p>
            <w:pPr>
              <w:spacing w:line="240" w:lineRule="auto"/>
              <w:ind w:firstLine="420" w:firstLineChars="200"/>
              <w:rPr>
                <w:rFonts w:ascii="Times New Roman" w:hAnsi="Times New Roman"/>
                <w:szCs w:val="21"/>
              </w:rPr>
            </w:pPr>
            <w:r>
              <w:rPr>
                <w:rFonts w:ascii="Times New Roman" w:hAnsi="宋体"/>
                <w:szCs w:val="21"/>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restart"/>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铝灰渣</w:t>
            </w:r>
          </w:p>
        </w:tc>
        <w:tc>
          <w:tcPr>
            <w:tcW w:w="1769"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w:t>
            </w:r>
          </w:p>
        </w:tc>
        <w:tc>
          <w:tcPr>
            <w:tcW w:w="1680" w:type="dxa"/>
            <w:gridSpan w:val="2"/>
            <w:vAlign w:val="center"/>
          </w:tcPr>
          <w:p>
            <w:pPr>
              <w:spacing w:line="240" w:lineRule="auto"/>
              <w:jc w:val="center"/>
              <w:rPr>
                <w:rFonts w:hint="default" w:ascii="Times New Roman" w:hAnsi="Times New Roman" w:eastAsia="宋体"/>
                <w:szCs w:val="21"/>
                <w:lang w:val="en-US" w:eastAsia="zh-CN"/>
              </w:rPr>
            </w:pPr>
            <w:r>
              <w:rPr>
                <w:rFonts w:hint="eastAsia" w:ascii="Times New Roman" w:hAnsi="Times New Roman"/>
                <w:szCs w:val="21"/>
                <w:lang w:val="en-US" w:eastAsia="zh-CN"/>
              </w:rPr>
              <w:t>10</w:t>
            </w:r>
          </w:p>
        </w:tc>
        <w:tc>
          <w:tcPr>
            <w:tcW w:w="2205" w:type="dxa"/>
            <w:gridSpan w:val="2"/>
            <w:vMerge w:val="restart"/>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hint="eastAsia" w:ascii="Times New Roman" w:hAnsi="Times New Roman" w:eastAsia="宋体"/>
                <w:szCs w:val="21"/>
                <w:lang w:eastAsia="zh-CN"/>
              </w:rPr>
            </w:pPr>
            <w:r>
              <w:rPr>
                <w:rFonts w:ascii="Times New Roman" w:hAnsi="宋体"/>
                <w:szCs w:val="21"/>
              </w:rPr>
              <w:t>毒性</w:t>
            </w:r>
            <w:r>
              <w:rPr>
                <w:rFonts w:ascii="Times New Roman" w:hAnsi="Times New Roman"/>
                <w:szCs w:val="21"/>
              </w:rPr>
              <w:t xml:space="preserve">           </w:t>
            </w:r>
            <w:r>
              <w:rPr>
                <w:rFonts w:hint="eastAsia" w:ascii="MS Mincho" w:hAnsi="MS Mincho" w:cs="MS Mincho"/>
                <w:szCs w:val="21"/>
                <w:lang w:eastAsia="zh-CN"/>
              </w:rPr>
              <w:sym w:font="Wingdings 2" w:char="0052"/>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Merge w:val="restart"/>
            <w:vAlign w:val="center"/>
          </w:tcPr>
          <w:p>
            <w:pPr>
              <w:spacing w:line="240" w:lineRule="auto"/>
              <w:rPr>
                <w:rFonts w:hint="eastAsia" w:ascii="Times New Roman" w:hAnsi="Times New Roman" w:eastAsia="宋体"/>
                <w:szCs w:val="21"/>
                <w:lang w:eastAsia="zh-CN"/>
              </w:rPr>
            </w:pPr>
            <w:r>
              <w:rPr>
                <w:rFonts w:ascii="Times New Roman" w:hAnsi="宋体"/>
                <w:szCs w:val="21"/>
              </w:rPr>
              <w:t>固态</w:t>
            </w:r>
            <w:r>
              <w:rPr>
                <w:rFonts w:ascii="Times New Roman" w:hAnsi="Times New Roman"/>
                <w:szCs w:val="21"/>
              </w:rPr>
              <w:t xml:space="preserve">       </w:t>
            </w:r>
            <w:r>
              <w:rPr>
                <w:rFonts w:hint="eastAsia" w:ascii="MS Mincho" w:hAnsi="MS Mincho" w:cs="MS Mincho"/>
                <w:szCs w:val="21"/>
                <w:lang w:eastAsia="zh-CN"/>
              </w:rPr>
              <w:sym w:font="Wingdings 2" w:char="0052"/>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restart"/>
            <w:vAlign w:val="center"/>
          </w:tcPr>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hint="default" w:ascii="Times New Roman" w:hAnsi="Times New Roman" w:eastAsia="宋体"/>
                <w:szCs w:val="21"/>
                <w:lang w:val="en-US" w:eastAsia="zh-CN"/>
              </w:rPr>
            </w:pPr>
            <w:r>
              <w:rPr>
                <w:rFonts w:hint="eastAsia" w:ascii="Times New Roman" w:hAnsi="Times New Roman"/>
                <w:szCs w:val="21"/>
                <w:lang w:val="en-US" w:eastAsia="zh-CN"/>
              </w:rPr>
              <w:t>吸尘灰</w:t>
            </w: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w:t>
            </w:r>
          </w:p>
        </w:tc>
        <w:tc>
          <w:tcPr>
            <w:tcW w:w="1680"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0</w:t>
            </w:r>
          </w:p>
        </w:tc>
        <w:tc>
          <w:tcPr>
            <w:tcW w:w="2205" w:type="dxa"/>
            <w:gridSpan w:val="2"/>
            <w:vMerge w:val="restart"/>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Merge w:val="restart"/>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Align w:val="center"/>
          </w:tcPr>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bl>
    <w:p>
      <w:pPr>
        <w:rPr>
          <w:rFonts w:ascii="Times New Roman" w:hAnsi="Times New Roman" w:eastAsia="黑体"/>
          <w:sz w:val="28"/>
          <w:szCs w:val="28"/>
        </w:rPr>
      </w:pPr>
      <w:r>
        <w:rPr>
          <w:rFonts w:ascii="Times New Roman" w:eastAsia="黑体"/>
          <w:sz w:val="28"/>
          <w:szCs w:val="28"/>
        </w:rPr>
        <w:t>第二部分：废物包装、运输情况</w:t>
      </w:r>
    </w:p>
    <w:tbl>
      <w:tblPr>
        <w:tblStyle w:val="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00"/>
        <w:gridCol w:w="2103"/>
        <w:gridCol w:w="1421"/>
        <w:gridCol w:w="1379"/>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40" w:type="dxa"/>
            <w:gridSpan w:val="6"/>
            <w:vAlign w:val="center"/>
          </w:tcPr>
          <w:p>
            <w:pPr>
              <w:rPr>
                <w:rFonts w:hAnsi="Times New Roman"/>
              </w:rPr>
            </w:pPr>
            <w:r>
              <w:t>表</w:t>
            </w:r>
            <w:r>
              <w:rPr>
                <w:rFonts w:hAnsi="Times New Roman"/>
              </w:rPr>
              <w:t xml:space="preserve">1   </w:t>
            </w:r>
            <w:r>
              <w:t>废物包装情况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1" w:type="dxa"/>
            <w:vAlign w:val="center"/>
          </w:tcPr>
          <w:p>
            <w:pPr>
              <w:jc w:val="center"/>
              <w:rPr>
                <w:rFonts w:hAnsi="Times New Roman"/>
              </w:rPr>
            </w:pPr>
            <w:r>
              <w:t>序号</w:t>
            </w:r>
          </w:p>
        </w:tc>
        <w:tc>
          <w:tcPr>
            <w:tcW w:w="1900" w:type="dxa"/>
            <w:vAlign w:val="center"/>
          </w:tcPr>
          <w:p>
            <w:pPr>
              <w:jc w:val="center"/>
              <w:rPr>
                <w:rFonts w:hAnsi="Times New Roman"/>
              </w:rPr>
            </w:pPr>
            <w:r>
              <w:t>废物名称</w:t>
            </w:r>
          </w:p>
        </w:tc>
        <w:tc>
          <w:tcPr>
            <w:tcW w:w="2103" w:type="dxa"/>
            <w:vAlign w:val="center"/>
          </w:tcPr>
          <w:p>
            <w:pPr>
              <w:jc w:val="center"/>
              <w:rPr>
                <w:rFonts w:hAnsi="Times New Roman"/>
              </w:rPr>
            </w:pPr>
            <w:r>
              <w:t>包装物（容器）名称</w:t>
            </w:r>
          </w:p>
        </w:tc>
        <w:tc>
          <w:tcPr>
            <w:tcW w:w="1421" w:type="dxa"/>
            <w:vAlign w:val="center"/>
          </w:tcPr>
          <w:p>
            <w:pPr>
              <w:jc w:val="center"/>
              <w:rPr>
                <w:rFonts w:hAnsi="Times New Roman"/>
              </w:rPr>
            </w:pPr>
            <w:r>
              <w:t>材质</w:t>
            </w:r>
          </w:p>
        </w:tc>
        <w:tc>
          <w:tcPr>
            <w:tcW w:w="1379" w:type="dxa"/>
            <w:vAlign w:val="center"/>
          </w:tcPr>
          <w:p>
            <w:pPr>
              <w:jc w:val="center"/>
              <w:rPr>
                <w:rFonts w:hAnsi="Times New Roman"/>
              </w:rPr>
            </w:pPr>
            <w:r>
              <w:t>容积</w:t>
            </w:r>
          </w:p>
        </w:tc>
        <w:tc>
          <w:tcPr>
            <w:tcW w:w="1716" w:type="dxa"/>
            <w:vAlign w:val="center"/>
          </w:tcPr>
          <w:p>
            <w:pPr>
              <w:jc w:val="center"/>
              <w:rPr>
                <w:rFonts w:hAnsi="Times New Roman"/>
              </w:rPr>
            </w:pPr>
            <w:r>
              <w:t>是否有危废标签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21" w:type="dxa"/>
            <w:vAlign w:val="center"/>
          </w:tcPr>
          <w:p>
            <w:pPr>
              <w:jc w:val="center"/>
              <w:rPr>
                <w:rFonts w:hAnsi="Times New Roman"/>
              </w:rPr>
            </w:pPr>
            <w:r>
              <w:rPr>
                <w:rFonts w:hint="eastAsia" w:hAnsi="Times New Roman"/>
              </w:rPr>
              <w:t>1</w:t>
            </w:r>
          </w:p>
        </w:tc>
        <w:tc>
          <w:tcPr>
            <w:tcW w:w="1900" w:type="dxa"/>
            <w:vAlign w:val="center"/>
          </w:tcPr>
          <w:p>
            <w:pPr>
              <w:jc w:val="center"/>
              <w:rPr>
                <w:sz w:val="18"/>
                <w:szCs w:val="18"/>
              </w:rPr>
            </w:pPr>
            <w:r>
              <w:rPr>
                <w:rFonts w:hint="eastAsia" w:ascii="Times New Roman" w:hAnsi="Times New Roman"/>
                <w:szCs w:val="21"/>
                <w:lang w:val="en-US" w:eastAsia="zh-CN"/>
              </w:rPr>
              <w:t>铝灰渣</w:t>
            </w:r>
          </w:p>
        </w:tc>
        <w:tc>
          <w:tcPr>
            <w:tcW w:w="2103" w:type="dxa"/>
            <w:vAlign w:val="center"/>
          </w:tcPr>
          <w:p>
            <w:pPr>
              <w:jc w:val="center"/>
              <w:rPr>
                <w:rFonts w:hint="eastAsia" w:hAnsi="Times New Roman" w:eastAsia="宋体"/>
                <w:lang w:val="en-US" w:eastAsia="zh-CN"/>
              </w:rPr>
            </w:pPr>
            <w:r>
              <w:rPr>
                <w:rFonts w:hint="eastAsia" w:hAnsi="Times New Roman"/>
                <w:lang w:val="en-US" w:eastAsia="zh-CN"/>
              </w:rPr>
              <w:t>吨袋</w:t>
            </w:r>
          </w:p>
        </w:tc>
        <w:tc>
          <w:tcPr>
            <w:tcW w:w="1421" w:type="dxa"/>
            <w:vAlign w:val="center"/>
          </w:tcPr>
          <w:p>
            <w:pPr>
              <w:jc w:val="center"/>
              <w:rPr>
                <w:rFonts w:hint="eastAsia" w:hAnsi="Times New Roman" w:eastAsia="宋体"/>
                <w:lang w:val="en-US" w:eastAsia="zh-CN"/>
              </w:rPr>
            </w:pPr>
            <w:r>
              <w:rPr>
                <w:rFonts w:hint="eastAsia" w:hAnsi="Times New Roman"/>
                <w:lang w:val="en-US" w:eastAsia="zh-CN"/>
              </w:rPr>
              <w:t>塑料</w:t>
            </w:r>
          </w:p>
        </w:tc>
        <w:tc>
          <w:tcPr>
            <w:tcW w:w="1379" w:type="dxa"/>
            <w:vAlign w:val="center"/>
          </w:tcPr>
          <w:p>
            <w:pPr>
              <w:jc w:val="center"/>
              <w:rPr>
                <w:rFonts w:hint="default" w:hAnsi="Times New Roman" w:eastAsia="宋体"/>
                <w:lang w:val="en-US" w:eastAsia="zh-CN"/>
              </w:rPr>
            </w:pPr>
            <w:r>
              <w:rPr>
                <w:rFonts w:hint="eastAsia" w:hAnsi="Times New Roman"/>
                <w:lang w:val="en-US" w:eastAsia="zh-CN"/>
              </w:rPr>
              <w:t>1000L</w:t>
            </w:r>
          </w:p>
        </w:tc>
        <w:tc>
          <w:tcPr>
            <w:tcW w:w="1716" w:type="dxa"/>
            <w:vAlign w:val="center"/>
          </w:tcPr>
          <w:p>
            <w:pPr>
              <w:jc w:val="center"/>
              <w:rPr>
                <w:rFonts w:hint="eastAsia" w:hAnsi="Times New Roman" w:eastAsia="宋体"/>
                <w:lang w:val="en-US" w:eastAsia="zh-CN"/>
              </w:rPr>
            </w:pPr>
            <w:r>
              <w:rPr>
                <w:rFonts w:hint="eastAsia" w:hAnsi="Times New Roman"/>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721"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2</w:t>
            </w:r>
          </w:p>
        </w:tc>
        <w:tc>
          <w:tcPr>
            <w:tcW w:w="1900" w:type="dxa"/>
            <w:vAlign w:val="center"/>
          </w:tcPr>
          <w:p>
            <w:pPr>
              <w:jc w:val="center"/>
              <w:rPr>
                <w:rFonts w:hint="eastAsia" w:ascii="Calibri" w:hAnsi="Calibri" w:eastAsia="宋体" w:cs="Times New Roman"/>
                <w:kern w:val="2"/>
                <w:sz w:val="18"/>
                <w:szCs w:val="18"/>
                <w:lang w:val="en-US" w:eastAsia="zh-CN" w:bidi="ar-SA"/>
              </w:rPr>
            </w:pPr>
            <w:r>
              <w:rPr>
                <w:rFonts w:hint="eastAsia" w:ascii="Times New Roman" w:hAnsi="Times New Roman"/>
                <w:szCs w:val="21"/>
                <w:lang w:val="en-US" w:eastAsia="zh-CN"/>
              </w:rPr>
              <w:t>吸尘灰</w:t>
            </w:r>
          </w:p>
        </w:tc>
        <w:tc>
          <w:tcPr>
            <w:tcW w:w="2103"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吨袋</w:t>
            </w:r>
          </w:p>
        </w:tc>
        <w:tc>
          <w:tcPr>
            <w:tcW w:w="1421"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塑料</w:t>
            </w:r>
          </w:p>
        </w:tc>
        <w:tc>
          <w:tcPr>
            <w:tcW w:w="1379"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1000L</w:t>
            </w:r>
          </w:p>
        </w:tc>
        <w:tc>
          <w:tcPr>
            <w:tcW w:w="1716"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21" w:type="dxa"/>
            <w:vAlign w:val="center"/>
          </w:tcPr>
          <w:p>
            <w:pPr>
              <w:jc w:val="center"/>
              <w:rPr>
                <w:rFonts w:hAnsi="Times New Roman"/>
              </w:rPr>
            </w:pPr>
          </w:p>
        </w:tc>
        <w:tc>
          <w:tcPr>
            <w:tcW w:w="1900" w:type="dxa"/>
            <w:vAlign w:val="center"/>
          </w:tcPr>
          <w:p>
            <w:pPr>
              <w:jc w:val="center"/>
              <w:rPr>
                <w:rFonts w:hAnsi="Times New Roman"/>
              </w:rPr>
            </w:pPr>
          </w:p>
        </w:tc>
        <w:tc>
          <w:tcPr>
            <w:tcW w:w="2103" w:type="dxa"/>
            <w:vAlign w:val="center"/>
          </w:tcPr>
          <w:p>
            <w:pPr>
              <w:jc w:val="center"/>
              <w:rPr>
                <w:rFonts w:hAnsi="Times New Roman"/>
              </w:rPr>
            </w:pPr>
          </w:p>
        </w:tc>
        <w:tc>
          <w:tcPr>
            <w:tcW w:w="1421" w:type="dxa"/>
            <w:vAlign w:val="center"/>
          </w:tcPr>
          <w:p>
            <w:pPr>
              <w:jc w:val="center"/>
              <w:rPr>
                <w:rFonts w:hAnsi="Times New Roman"/>
              </w:rPr>
            </w:pPr>
          </w:p>
        </w:tc>
        <w:tc>
          <w:tcPr>
            <w:tcW w:w="1379" w:type="dxa"/>
            <w:vAlign w:val="center"/>
          </w:tcPr>
          <w:p>
            <w:pPr>
              <w:jc w:val="center"/>
              <w:rPr>
                <w:rFonts w:hAnsi="Times New Roman"/>
              </w:rPr>
            </w:pPr>
          </w:p>
        </w:tc>
        <w:tc>
          <w:tcPr>
            <w:tcW w:w="1716" w:type="dxa"/>
            <w:vAlign w:val="center"/>
          </w:tcPr>
          <w:p>
            <w:pPr>
              <w:jc w:val="center"/>
              <w:rPr>
                <w:rFonts w:hAnsi="Times New Roman"/>
              </w:rPr>
            </w:pPr>
          </w:p>
        </w:tc>
      </w:tr>
    </w:tbl>
    <w:tbl>
      <w:tblPr>
        <w:tblStyle w:val="7"/>
        <w:tblpPr w:leftFromText="180" w:rightFromText="180" w:vertAnchor="text" w:horzAnchor="page" w:tblpX="1380" w:tblpY="554"/>
        <w:tblOverlap w:val="never"/>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250" w:type="dxa"/>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2</w:t>
            </w:r>
            <w:r>
              <w:rPr>
                <w:rFonts w:hint="eastAsia" w:ascii="Times New Roman" w:hAnsi="Times New Roman"/>
                <w:b/>
                <w:bCs/>
                <w:szCs w:val="24"/>
                <w:lang w:val="en-US" w:eastAsia="zh-CN"/>
              </w:rPr>
              <w:t>-1</w:t>
            </w:r>
            <w:r>
              <w:rPr>
                <w:rFonts w:ascii="Times New Roman" w:hAnsi="Times New Roman"/>
                <w:b/>
                <w:bCs/>
                <w:szCs w:val="24"/>
              </w:rPr>
              <w:t xml:space="preserve">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trPr>
        <w:tc>
          <w:tcPr>
            <w:tcW w:w="9250" w:type="dxa"/>
          </w:tcPr>
          <w:p>
            <w:pPr>
              <w:spacing w:line="360" w:lineRule="auto"/>
              <w:jc w:val="left"/>
              <w:rPr>
                <w:rFonts w:hint="eastAsia" w:cs="Times New Roman"/>
                <w:lang w:val="en-US" w:eastAsia="zh-CN"/>
              </w:rPr>
            </w:pPr>
            <w:r>
              <w:rPr>
                <w:rFonts w:hint="eastAsia" w:cs="Times New Roman"/>
                <w:lang w:val="en-US" w:eastAsia="zh-CN"/>
              </w:rPr>
              <w:t>运输是否符合交管部门运输相关规定（文字描述）</w:t>
            </w:r>
          </w:p>
          <w:p>
            <w:pPr>
              <w:spacing w:line="360" w:lineRule="auto"/>
              <w:ind w:firstLine="420" w:firstLineChars="200"/>
              <w:jc w:val="left"/>
              <w:rPr>
                <w:rFonts w:hint="default" w:ascii="Times New Roman" w:hAnsi="Times New Roman" w:eastAsia="宋体"/>
                <w:szCs w:val="24"/>
                <w:lang w:val="en-US" w:eastAsia="zh-CN"/>
              </w:rPr>
            </w:pPr>
            <w:r>
              <w:rPr>
                <w:rFonts w:hint="eastAsia" w:cs="Times New Roman"/>
                <w:lang w:val="en-US" w:eastAsia="zh-CN"/>
              </w:rPr>
              <w:t>由内蒙古润林环保科技有限公司委托具有相关危险废物道路运输资质的河南利泽运输有限公司提供危险废物的安全运输服务，依据《中华人民共和国民法典》、《危险化学品安全管理条例》、《危险废物转移管理办法》等有关规定和要求并严格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50" w:type="dxa"/>
            <w:vAlign w:val="center"/>
          </w:tcPr>
          <w:p>
            <w:pPr>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trPr>
        <w:tc>
          <w:tcPr>
            <w:tcW w:w="9250" w:type="dxa"/>
          </w:tcPr>
          <w:p>
            <w:pPr>
              <w:spacing w:line="360" w:lineRule="auto"/>
              <w:ind w:firstLine="420" w:firstLineChars="200"/>
              <w:jc w:val="left"/>
              <w:rPr>
                <w:rFonts w:hint="eastAsia" w:cs="Times New Roman"/>
              </w:rPr>
            </w:pPr>
            <w:r>
              <w:rPr>
                <w:rFonts w:hint="eastAsia" w:cs="Times New Roman"/>
              </w:rPr>
              <w:t>运输路线文字描述：（写明途经省、市、县（区），附路线图）</w:t>
            </w:r>
          </w:p>
          <w:p>
            <w:pPr>
              <w:spacing w:line="360" w:lineRule="auto"/>
              <w:ind w:firstLine="420" w:firstLineChars="200"/>
              <w:jc w:val="left"/>
              <w:rPr>
                <w:rFonts w:hint="eastAsia" w:cs="Times New Roman"/>
                <w:lang w:val="en-US" w:eastAsia="zh-CN"/>
              </w:rPr>
            </w:pPr>
            <w:r>
              <w:rPr>
                <w:rFonts w:hint="eastAsia" w:cs="Times New Roman"/>
                <w:lang w:val="en-US" w:eastAsia="zh-CN"/>
              </w:rPr>
              <w:t>从江苏烁源新材料科技有限公司出发，工业大道→G42沪蓉高速→G2京沪高速→S29滨莱高速→G25长深高速→G18荣乌高速→G45大广高速→G16丹锡高速→306国道→207国道→白霍一级路，目的地内蒙古润林环保科技有限公司</w:t>
            </w:r>
          </w:p>
          <w:p>
            <w:pPr>
              <w:spacing w:line="360" w:lineRule="auto"/>
              <w:ind w:firstLine="420" w:firstLineChars="200"/>
              <w:jc w:val="left"/>
              <w:rPr>
                <w:rFonts w:hint="default"/>
                <w:lang w:val="en-US" w:eastAsia="zh-CN"/>
              </w:rPr>
            </w:pPr>
            <w:r>
              <w:rPr>
                <w:rFonts w:hint="eastAsia" w:cs="Times New Roman"/>
                <w:lang w:val="en-US" w:eastAsia="zh-CN"/>
              </w:rPr>
              <w:t>途 径：江苏省（常州市、淮安市）、山东省（临沂市、淄博市、滨州市）、河北省（唐山市、承德市）、内蒙古自治区（赤峰市）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7" w:hRule="atLeast"/>
        </w:trPr>
        <w:tc>
          <w:tcPr>
            <w:tcW w:w="9250" w:type="dxa"/>
          </w:tcPr>
          <w:p>
            <w:pPr>
              <w:rPr>
                <w:rFonts w:ascii="Times New Roman"/>
                <w:sz w:val="28"/>
                <w:szCs w:val="28"/>
              </w:rPr>
            </w:pPr>
            <w:r>
              <w:rPr>
                <w:rFonts w:hint="eastAsia" w:ascii="Times New Roman"/>
                <w:sz w:val="28"/>
                <w:szCs w:val="28"/>
              </w:rPr>
              <w:t>路线图：</w:t>
            </w:r>
          </w:p>
          <w:p>
            <w:pPr>
              <w:spacing w:line="240" w:lineRule="auto"/>
              <w:jc w:val="center"/>
              <w:rPr>
                <w:rFonts w:hint="eastAsia" w:ascii="Times New Roman" w:eastAsia="宋体"/>
                <w:szCs w:val="24"/>
                <w:lang w:eastAsia="zh-CN"/>
              </w:rPr>
            </w:pPr>
            <w:r>
              <w:rPr>
                <w:rFonts w:hint="eastAsia" w:ascii="Times New Roman" w:eastAsia="宋体"/>
                <w:szCs w:val="24"/>
                <w:lang w:eastAsia="zh-CN"/>
              </w:rPr>
              <w:drawing>
                <wp:inline distT="0" distB="0" distL="114300" distR="114300">
                  <wp:extent cx="4330065" cy="6094095"/>
                  <wp:effectExtent l="0" t="0" r="13335" b="1905"/>
                  <wp:docPr id="3" name="图片 3" descr="微信截图_202302021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202124608"/>
                          <pic:cNvPicPr>
                            <a:picLocks noChangeAspect="1"/>
                          </pic:cNvPicPr>
                        </pic:nvPicPr>
                        <pic:blipFill>
                          <a:blip r:embed="rId10"/>
                          <a:stretch>
                            <a:fillRect/>
                          </a:stretch>
                        </pic:blipFill>
                        <pic:spPr>
                          <a:xfrm>
                            <a:off x="0" y="0"/>
                            <a:ext cx="4330065" cy="6094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250" w:type="dxa"/>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2</w:t>
            </w:r>
            <w:r>
              <w:rPr>
                <w:rFonts w:hint="eastAsia" w:ascii="Times New Roman" w:hAnsi="Times New Roman"/>
                <w:b/>
                <w:bCs/>
                <w:szCs w:val="24"/>
                <w:lang w:val="en-US" w:eastAsia="zh-CN"/>
              </w:rPr>
              <w:t>-2</w:t>
            </w:r>
            <w:r>
              <w:rPr>
                <w:rFonts w:ascii="Times New Roman" w:hAnsi="Times New Roman"/>
                <w:b/>
                <w:bCs/>
                <w:szCs w:val="24"/>
              </w:rPr>
              <w:t xml:space="preserve">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9250" w:type="dxa"/>
          </w:tcPr>
          <w:p>
            <w:pPr>
              <w:spacing w:line="360" w:lineRule="auto"/>
              <w:jc w:val="left"/>
              <w:rPr>
                <w:rFonts w:hint="eastAsia" w:cs="Times New Roman"/>
                <w:lang w:val="en-US" w:eastAsia="zh-CN"/>
              </w:rPr>
            </w:pPr>
            <w:r>
              <w:rPr>
                <w:rFonts w:hint="eastAsia" w:cs="Times New Roman"/>
                <w:lang w:val="en-US" w:eastAsia="zh-CN"/>
              </w:rPr>
              <w:t>运输是否符合交管部门运输相关规定（文字描述）</w:t>
            </w:r>
          </w:p>
          <w:p>
            <w:pPr>
              <w:spacing w:line="360" w:lineRule="auto"/>
              <w:ind w:firstLine="420" w:firstLineChars="200"/>
              <w:jc w:val="left"/>
              <w:rPr>
                <w:rFonts w:hint="default" w:ascii="Times New Roman" w:hAnsi="Times New Roman" w:eastAsia="宋体"/>
                <w:szCs w:val="24"/>
                <w:lang w:val="en-US" w:eastAsia="zh-CN"/>
              </w:rPr>
            </w:pPr>
            <w:r>
              <w:rPr>
                <w:rFonts w:hint="eastAsia" w:cs="Times New Roman"/>
                <w:lang w:val="en-US" w:eastAsia="zh-CN"/>
              </w:rPr>
              <w:t>由内蒙古润林环保科技有限公司委托具有相关危险废物道路运输资质的内蒙古青云物流有限公司提供危险废物的安全运输服务，依据《中华人民共和国民法典》、《危险化学品安全管理条例》、《危险废物转移管理办法》等有关规定和要求并严格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250" w:type="dxa"/>
            <w:vAlign w:val="center"/>
          </w:tcPr>
          <w:p>
            <w:pPr>
              <w:jc w:val="both"/>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9250" w:type="dxa"/>
          </w:tcPr>
          <w:p>
            <w:pPr>
              <w:spacing w:line="360" w:lineRule="auto"/>
              <w:ind w:firstLine="420" w:firstLineChars="200"/>
              <w:jc w:val="left"/>
              <w:rPr>
                <w:rFonts w:hint="eastAsia" w:cs="Times New Roman"/>
                <w:lang w:val="en-US" w:eastAsia="zh-CN"/>
              </w:rPr>
            </w:pPr>
            <w:r>
              <w:rPr>
                <w:rFonts w:hint="eastAsia" w:cs="Times New Roman"/>
                <w:lang w:val="en-US" w:eastAsia="zh-CN"/>
              </w:rPr>
              <w:t>运输路线文字描述：（写明途经省、市、县（区），附路线图）</w:t>
            </w:r>
          </w:p>
          <w:p>
            <w:pPr>
              <w:spacing w:line="360" w:lineRule="auto"/>
              <w:ind w:firstLine="420" w:firstLineChars="200"/>
              <w:jc w:val="left"/>
              <w:rPr>
                <w:rFonts w:hint="eastAsia" w:cs="Times New Roman"/>
                <w:lang w:val="en-US" w:eastAsia="zh-CN"/>
              </w:rPr>
            </w:pPr>
            <w:r>
              <w:rPr>
                <w:rFonts w:hint="eastAsia" w:cs="Times New Roman"/>
                <w:lang w:val="en-US" w:eastAsia="zh-CN"/>
              </w:rPr>
              <w:t>江苏烁源新材料科技有限公司→X303→沪蓉高速→江宜高速→京沪高速→滨莱高速→长深高速→沾临高速→秦滨高速→长深高速→首都环线高速→大广高速→丹锡高速→G306→G207→白霍一级路→内蒙古润林环保科技有限公司</w:t>
            </w:r>
          </w:p>
          <w:p>
            <w:pPr>
              <w:spacing w:line="360" w:lineRule="auto"/>
              <w:ind w:firstLine="420" w:firstLineChars="200"/>
              <w:jc w:val="left"/>
              <w:rPr>
                <w:rFonts w:hint="default"/>
                <w:lang w:val="en-US" w:eastAsia="zh-CN"/>
              </w:rPr>
            </w:pPr>
            <w:r>
              <w:rPr>
                <w:rFonts w:hint="eastAsia" w:cs="Times New Roman"/>
                <w:lang w:val="en-US" w:eastAsia="zh-CN"/>
              </w:rPr>
              <w:t>途 径：常州市、镇江市、淮安市、临沂市、淄博市、滨州市、天津市、唐山市、承德市、赤峰市、霍林郭勒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7" w:hRule="atLeast"/>
        </w:trPr>
        <w:tc>
          <w:tcPr>
            <w:tcW w:w="9250" w:type="dxa"/>
          </w:tcPr>
          <w:p>
            <w:pPr>
              <w:rPr>
                <w:rFonts w:ascii="Times New Roman"/>
                <w:sz w:val="28"/>
                <w:szCs w:val="28"/>
              </w:rPr>
            </w:pPr>
            <w:r>
              <w:rPr>
                <w:rFonts w:hint="eastAsia" w:ascii="Times New Roman"/>
                <w:sz w:val="28"/>
                <w:szCs w:val="28"/>
              </w:rPr>
              <w:t>路线图：</w:t>
            </w:r>
          </w:p>
          <w:p>
            <w:pPr>
              <w:spacing w:line="240" w:lineRule="auto"/>
              <w:jc w:val="center"/>
              <w:rPr>
                <w:rFonts w:hint="eastAsia" w:ascii="Times New Roman" w:eastAsia="宋体"/>
                <w:szCs w:val="24"/>
                <w:lang w:eastAsia="zh-CN"/>
              </w:rPr>
            </w:pPr>
            <w:r>
              <w:rPr>
                <w:rFonts w:hint="eastAsia" w:ascii="Times New Roman" w:eastAsia="宋体"/>
                <w:szCs w:val="24"/>
                <w:lang w:eastAsia="zh-CN"/>
              </w:rPr>
              <w:drawing>
                <wp:inline distT="0" distB="0" distL="114300" distR="114300">
                  <wp:extent cx="3138805" cy="4524375"/>
                  <wp:effectExtent l="0" t="0" r="635" b="1905"/>
                  <wp:docPr id="2" name="图片 2" descr="青云物流运输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云物流运输线路图"/>
                          <pic:cNvPicPr>
                            <a:picLocks noChangeAspect="1"/>
                          </pic:cNvPicPr>
                        </pic:nvPicPr>
                        <pic:blipFill>
                          <a:blip r:embed="rId11"/>
                          <a:stretch>
                            <a:fillRect/>
                          </a:stretch>
                        </pic:blipFill>
                        <pic:spPr>
                          <a:xfrm>
                            <a:off x="0" y="0"/>
                            <a:ext cx="3138805" cy="4524375"/>
                          </a:xfrm>
                          <a:prstGeom prst="rect">
                            <a:avLst/>
                          </a:prstGeom>
                        </pic:spPr>
                      </pic:pic>
                    </a:graphicData>
                  </a:graphic>
                </wp:inline>
              </w:drawing>
            </w:r>
          </w:p>
        </w:tc>
      </w:tr>
    </w:tbl>
    <w:tbl>
      <w:tblPr>
        <w:tblStyle w:val="7"/>
        <w:tblW w:w="9459"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59" w:type="dxa"/>
            <w:vAlign w:val="center"/>
          </w:tcPr>
          <w:p>
            <w:pPr>
              <w:jc w:val="left"/>
              <w:rPr>
                <w:rFonts w:ascii="Times New Roman" w:hAnsi="Times New Roman"/>
                <w:b/>
                <w:bCs/>
                <w:szCs w:val="24"/>
              </w:rPr>
            </w:pPr>
            <w:r>
              <w:rPr>
                <w:rFonts w:ascii="Times New Roman"/>
                <w:b/>
                <w:bCs/>
                <w:szCs w:val="24"/>
              </w:rPr>
              <w:t>表</w:t>
            </w:r>
            <w:r>
              <w:rPr>
                <w:rFonts w:ascii="Times New Roman" w:hAnsi="Times New Roman"/>
                <w:b/>
                <w:bCs/>
                <w:szCs w:val="24"/>
              </w:rPr>
              <w:t xml:space="preserve">3  </w:t>
            </w:r>
            <w:r>
              <w:rPr>
                <w:rFonts w:ascii="Times New Roman"/>
                <w:b/>
                <w:bCs/>
                <w:szCs w:val="24"/>
              </w:rPr>
              <w:t>转移的污染防治、安全防护和应急措施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9" w:type="dxa"/>
          </w:tcPr>
          <w:p>
            <w:pPr>
              <w:jc w:val="left"/>
            </w:pPr>
            <w:r>
              <w:rPr>
                <w:rFonts w:hint="eastAsia"/>
              </w:rPr>
              <w:t>1、运输过程中的污染防治措施以及按照要求配备的相应污染防治设备</w:t>
            </w:r>
          </w:p>
          <w:p>
            <w:pPr>
              <w:spacing w:line="360" w:lineRule="auto"/>
              <w:ind w:firstLine="420" w:firstLineChars="200"/>
              <w:jc w:val="left"/>
              <w:rPr>
                <w:rFonts w:hint="eastAsia"/>
              </w:rPr>
            </w:pPr>
            <w:r>
              <w:rPr>
                <w:rFonts w:hint="eastAsia"/>
              </w:rPr>
              <w:t>在运输过程中，以保证装卸、运输能有效的减少和防止对环境的影响。发生突发性事故时，</w:t>
            </w:r>
            <w:r>
              <w:rPr>
                <w:rFonts w:hint="eastAsia"/>
                <w:lang w:eastAsia="zh-CN"/>
              </w:rPr>
              <w:t>一旦</w:t>
            </w:r>
            <w:r>
              <w:rPr>
                <w:rFonts w:hint="eastAsia"/>
              </w:rPr>
              <w:t>发生泄露、遗落应立即通知公司安全部门并报警，待救援的同时并采取一切办法阻止事故的继续进行，有效的控制事故的蔓延和扩大。及时建立警戒区域，应根据危险废物泄漏的扩散情况或所涉及到的范围建立警戒区，应急处置人员必须佩戴防护</w:t>
            </w:r>
            <w:r>
              <w:rPr>
                <w:rFonts w:hint="eastAsia"/>
                <w:lang w:eastAsia="zh-CN"/>
              </w:rPr>
              <w:t>口罩</w:t>
            </w:r>
            <w:r>
              <w:rPr>
                <w:rFonts w:hint="eastAsia"/>
              </w:rPr>
              <w:t>、穿防护服并在通往事故现场的主要干道上实行交通制止并迅速将警戒区及污染区内与事故应急处理人员撤离，周围设置警告标志。做到快速有效处理，最大限度的减小事故危害，配合救援人员一切工作以保证人民生命财产和环境安全。</w:t>
            </w: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9459" w:type="dxa"/>
          </w:tcPr>
          <w:p>
            <w:pPr>
              <w:pStyle w:val="14"/>
              <w:numPr>
                <w:ilvl w:val="0"/>
                <w:numId w:val="1"/>
              </w:numPr>
              <w:tabs>
                <w:tab w:val="left" w:pos="360"/>
              </w:tabs>
              <w:spacing w:line="360" w:lineRule="auto"/>
              <w:ind w:leftChars="0"/>
              <w:rPr>
                <w:rFonts w:ascii="Times New Roman"/>
                <w:bCs/>
                <w:sz w:val="21"/>
                <w:szCs w:val="21"/>
              </w:rPr>
            </w:pPr>
            <w:r>
              <w:rPr>
                <w:rFonts w:ascii="Times New Roman"/>
                <w:bCs/>
                <w:sz w:val="21"/>
                <w:szCs w:val="21"/>
              </w:rPr>
              <w:t>运输过程中的安全防护措施以及按照要求配备的相应安全防护设备</w:t>
            </w:r>
          </w:p>
          <w:p>
            <w:pPr>
              <w:spacing w:line="360" w:lineRule="auto"/>
              <w:ind w:firstLine="420" w:firstLineChars="200"/>
              <w:rPr>
                <w:rFonts w:ascii="Times New Roman"/>
                <w:bCs/>
                <w:sz w:val="21"/>
                <w:szCs w:val="21"/>
              </w:rPr>
            </w:pPr>
            <w:r>
              <w:rPr>
                <w:rFonts w:hint="eastAsia"/>
                <w:lang w:val="en-US" w:eastAsia="zh-CN"/>
              </w:rPr>
              <w:t>运输过程中要加强安全风险防范意识，从业工作人员必须经过安全培训，作业时必须配备工作服、防护口罩等安全防护措施，工作中必须注意安全，防止运输过程中发生倾倒或泄露。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6" w:hRule="atLeast"/>
        </w:trPr>
        <w:tc>
          <w:tcPr>
            <w:tcW w:w="9459" w:type="dxa"/>
          </w:tcPr>
          <w:p>
            <w:pPr>
              <w:rPr>
                <w:rFonts w:ascii="Times New Roman" w:hAnsi="Times New Roman"/>
                <w:bCs/>
                <w:szCs w:val="21"/>
              </w:rPr>
            </w:pPr>
            <w:r>
              <w:rPr>
                <w:rFonts w:ascii="Times New Roman" w:hAnsi="Times New Roman"/>
                <w:bCs/>
                <w:szCs w:val="21"/>
              </w:rPr>
              <w:t>3</w:t>
            </w:r>
            <w:r>
              <w:rPr>
                <w:rFonts w:ascii="Times New Roman"/>
                <w:bCs/>
                <w:szCs w:val="21"/>
              </w:rPr>
              <w:t>、运输过程中的应急预案以及按照要求配备的相应应急设备</w:t>
            </w:r>
          </w:p>
          <w:p>
            <w:pPr>
              <w:spacing w:line="360" w:lineRule="auto"/>
              <w:ind w:firstLine="420" w:firstLineChars="200"/>
              <w:jc w:val="left"/>
              <w:rPr>
                <w:rFonts w:hint="default"/>
                <w:lang w:val="en-US" w:eastAsia="zh-CN"/>
              </w:rPr>
            </w:pPr>
            <w:r>
              <w:rPr>
                <w:rFonts w:hint="eastAsia"/>
                <w:lang w:val="en-US" w:eastAsia="zh-CN"/>
              </w:rPr>
              <w:t>已制定《危险品事故处理应急救援预案》 ，所有危险废物运输车辆均应配备以下安全用品：急救箱、反光三角、四个圆锥标志筒，所有司乘均需配备安全帽、防油手套、安全靴、全棉制服和夜间穿的反光背心。</w:t>
            </w:r>
          </w:p>
          <w:p>
            <w:pPr>
              <w:ind w:firstLine="420" w:firstLineChars="200"/>
              <w:rPr>
                <w:rFonts w:hint="eastAsia" w:ascii="宋体" w:hAnsi="宋体" w:cs="宋体"/>
                <w:szCs w:val="21"/>
              </w:rPr>
            </w:pPr>
          </w:p>
          <w:p>
            <w:pPr>
              <w:rPr>
                <w:rFonts w:hint="eastAsia" w:ascii="宋体" w:hAnsi="宋体" w:cs="宋体"/>
                <w:szCs w:val="21"/>
              </w:rPr>
            </w:pPr>
          </w:p>
          <w:p>
            <w:pPr>
              <w:ind w:firstLine="420" w:firstLineChars="200"/>
              <w:rPr>
                <w:rFonts w:hint="eastAsia" w:ascii="宋体" w:hAnsi="宋体" w:cs="宋体"/>
                <w:szCs w:val="21"/>
              </w:rPr>
            </w:pPr>
          </w:p>
          <w:p>
            <w:pPr>
              <w:rPr>
                <w:rFonts w:ascii="Times New Roman" w:hAnsi="Times New Roman"/>
                <w:szCs w:val="21"/>
              </w:rPr>
            </w:pPr>
          </w:p>
        </w:tc>
      </w:tr>
    </w:tbl>
    <w:p>
      <w:pPr>
        <w:rPr>
          <w:rFonts w:ascii="Times New Roman" w:hAnsi="Times New Roman" w:eastAsia="黑体"/>
          <w:sz w:val="28"/>
          <w:szCs w:val="28"/>
        </w:rPr>
      </w:pPr>
      <w:r>
        <w:rPr>
          <w:rFonts w:ascii="Times New Roman" w:eastAsia="黑体"/>
          <w:sz w:val="28"/>
          <w:szCs w:val="28"/>
        </w:rPr>
        <w:t>第三部分</w:t>
      </w:r>
      <w:r>
        <w:rPr>
          <w:rFonts w:ascii="Times New Roman" w:hAnsi="Times New Roman" w:eastAsia="黑体"/>
          <w:sz w:val="28"/>
          <w:szCs w:val="28"/>
        </w:rPr>
        <w:t xml:space="preserve">   </w:t>
      </w:r>
      <w:r>
        <w:rPr>
          <w:rFonts w:ascii="Times New Roman" w:eastAsia="黑体"/>
          <w:sz w:val="28"/>
          <w:szCs w:val="28"/>
        </w:rPr>
        <w:t>废物处理处置情况</w:t>
      </w:r>
    </w:p>
    <w:tbl>
      <w:tblPr>
        <w:tblStyle w:val="7"/>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1"/>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9345" w:type="dxa"/>
            <w:gridSpan w:val="2"/>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接受单位基本情况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9345" w:type="dxa"/>
            <w:gridSpan w:val="2"/>
            <w:vAlign w:val="center"/>
          </w:tcPr>
          <w:p>
            <w:pPr>
              <w:rPr>
                <w:rFonts w:hint="default" w:ascii="Times New Roman" w:hAnsi="Times New Roman" w:eastAsia="宋体"/>
                <w:lang w:val="en-US" w:eastAsia="zh-CN"/>
              </w:rPr>
            </w:pPr>
            <w:r>
              <w:rPr>
                <w:rFonts w:ascii="Times New Roman"/>
              </w:rPr>
              <w:t>单位名称：</w:t>
            </w:r>
            <w:r>
              <w:rPr>
                <w:rFonts w:hint="eastAsia" w:ascii="Times New Roman"/>
                <w:lang w:val="en-US" w:eastAsia="zh-CN"/>
              </w:rPr>
              <w:t>内蒙古润林环保科技有限公司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881" w:type="dxa"/>
            <w:vAlign w:val="center"/>
          </w:tcPr>
          <w:p>
            <w:pPr>
              <w:jc w:val="both"/>
              <w:rPr>
                <w:rFonts w:hint="default" w:ascii="Times New Roman" w:hAnsi="Times New Roman" w:eastAsia="宋体"/>
                <w:lang w:val="en-US" w:eastAsia="zh-CN"/>
              </w:rPr>
            </w:pPr>
            <w:r>
              <w:rPr>
                <w:rFonts w:ascii="Times New Roman"/>
              </w:rPr>
              <w:t>危废经营许可证编号：</w:t>
            </w:r>
            <w:r>
              <w:rPr>
                <w:rFonts w:hint="eastAsia" w:ascii="Times New Roman"/>
                <w:lang w:val="en-US" w:eastAsia="zh-CN"/>
              </w:rPr>
              <w:t>1505260188</w:t>
            </w:r>
          </w:p>
        </w:tc>
        <w:tc>
          <w:tcPr>
            <w:tcW w:w="4464" w:type="dxa"/>
            <w:vAlign w:val="center"/>
          </w:tcPr>
          <w:p>
            <w:pPr>
              <w:rPr>
                <w:rFonts w:hint="default" w:ascii="Times New Roman" w:hAnsi="Times New Roman" w:eastAsia="宋体"/>
                <w:lang w:val="en-US" w:eastAsia="zh-CN"/>
              </w:rPr>
            </w:pPr>
            <w:r>
              <w:rPr>
                <w:rFonts w:ascii="Times New Roman"/>
              </w:rPr>
              <w:t>有效期：</w:t>
            </w:r>
            <w:r>
              <w:rPr>
                <w:rFonts w:hint="eastAsia" w:ascii="Times New Roman"/>
                <w:lang w:val="en-US" w:eastAsia="zh-CN"/>
              </w:rPr>
              <w:t>2023</w:t>
            </w:r>
            <w:r>
              <w:rPr>
                <w:rFonts w:hint="eastAsia" w:ascii="Times New Roman"/>
              </w:rPr>
              <w:t>年</w:t>
            </w:r>
            <w:r>
              <w:rPr>
                <w:rFonts w:hint="eastAsia" w:ascii="Times New Roman"/>
                <w:lang w:val="en-US" w:eastAsia="zh-CN"/>
              </w:rPr>
              <w:t>2</w:t>
            </w:r>
            <w:r>
              <w:rPr>
                <w:rFonts w:hint="eastAsia" w:ascii="Times New Roman"/>
              </w:rPr>
              <w:t>月</w:t>
            </w:r>
            <w:r>
              <w:rPr>
                <w:rFonts w:hint="eastAsia" w:ascii="Times New Roman"/>
                <w:lang w:val="en-US" w:eastAsia="zh-CN"/>
              </w:rPr>
              <w:t>21日~2028</w:t>
            </w:r>
            <w:r>
              <w:rPr>
                <w:rFonts w:hint="eastAsia" w:ascii="Times New Roman"/>
              </w:rPr>
              <w:t>年</w:t>
            </w:r>
            <w:r>
              <w:rPr>
                <w:rFonts w:hint="eastAsia" w:ascii="Times New Roman"/>
                <w:lang w:val="en-US" w:eastAsia="zh-CN"/>
              </w:rPr>
              <w:t>2</w:t>
            </w:r>
            <w:r>
              <w:rPr>
                <w:rFonts w:hint="eastAsia" w:ascii="Times New Roman"/>
              </w:rPr>
              <w:t>月</w:t>
            </w:r>
            <w:r>
              <w:rPr>
                <w:rFonts w:hint="eastAsia" w:ascii="Times New Roman"/>
                <w:lang w:val="en-US" w:eastAsia="zh-CN"/>
              </w:rPr>
              <w:t>20</w:t>
            </w:r>
            <w:bookmarkStart w:id="0" w:name="_GoBack"/>
            <w:bookmarkEnd w:id="0"/>
            <w:r>
              <w:rPr>
                <w:rFonts w:hint="eastAsia" w:ascii="Times New Roman"/>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trPr>
        <w:tc>
          <w:tcPr>
            <w:tcW w:w="9345" w:type="dxa"/>
            <w:gridSpan w:val="2"/>
          </w:tcPr>
          <w:p>
            <w:pPr>
              <w:spacing w:line="360" w:lineRule="auto"/>
              <w:rPr>
                <w:rFonts w:hint="eastAsia" w:ascii="Times New Roman"/>
                <w:lang w:val="en-US" w:eastAsia="zh-CN"/>
              </w:rPr>
            </w:pPr>
            <w:r>
              <w:rPr>
                <w:rFonts w:ascii="Times New Roman"/>
              </w:rPr>
              <w:t>经营核准内容（废物名称、类别、数量）</w:t>
            </w:r>
            <w:r>
              <w:rPr>
                <w:rFonts w:hint="eastAsia" w:ascii="Times New Roman"/>
                <w:lang w:val="en-US" w:eastAsia="zh-CN"/>
              </w:rPr>
              <w:t>:</w:t>
            </w:r>
          </w:p>
          <w:p>
            <w:pPr>
              <w:spacing w:line="240" w:lineRule="auto"/>
              <w:rPr>
                <w:rFonts w:hint="eastAsia"/>
                <w:lang w:val="en-US" w:eastAsia="zh-CN"/>
              </w:rPr>
            </w:pPr>
            <w:r>
              <w:rPr>
                <w:rFonts w:hint="eastAsia" w:ascii="Times New Roman"/>
                <w:lang w:val="en-US" w:eastAsia="zh-CN"/>
              </w:rPr>
              <w:t xml:space="preserve">危险废物类别：铝灰HW48   </w:t>
            </w:r>
          </w:p>
          <w:p>
            <w:pPr>
              <w:spacing w:line="240" w:lineRule="auto"/>
              <w:rPr>
                <w:rFonts w:hint="eastAsia" w:ascii="Times New Roman"/>
                <w:lang w:val="en-US" w:eastAsia="zh-CN"/>
              </w:rPr>
            </w:pPr>
            <w:r>
              <w:rPr>
                <w:rFonts w:hint="eastAsia" w:ascii="Times New Roman"/>
                <w:lang w:val="en-US" w:eastAsia="zh-CN"/>
              </w:rPr>
              <w:t xml:space="preserve">危险废物代码：321-024-48、321-026-48、321-034-48  </w:t>
            </w:r>
          </w:p>
          <w:p>
            <w:pPr>
              <w:spacing w:line="240" w:lineRule="auto"/>
              <w:rPr>
                <w:rFonts w:hint="default" w:ascii="Times New Roman"/>
                <w:lang w:val="en-US" w:eastAsia="zh-CN"/>
              </w:rPr>
            </w:pPr>
            <w:r>
              <w:rPr>
                <w:rFonts w:hint="eastAsia" w:ascii="Times New Roman"/>
                <w:lang w:val="en-US" w:eastAsia="zh-CN"/>
              </w:rPr>
              <w:t>经营方式：收集、贮存、利用</w:t>
            </w:r>
          </w:p>
          <w:p>
            <w:pPr>
              <w:spacing w:line="240" w:lineRule="auto"/>
              <w:rPr>
                <w:rFonts w:hint="default"/>
                <w:lang w:val="en-US" w:eastAsia="zh-CN"/>
              </w:rPr>
            </w:pPr>
            <w:r>
              <w:rPr>
                <w:rFonts w:hint="eastAsia" w:ascii="Times New Roman"/>
                <w:lang w:val="en-US" w:eastAsia="zh-CN"/>
              </w:rPr>
              <w:t xml:space="preserve">经营规模：8万吨/年 </w:t>
            </w:r>
          </w:p>
        </w:tc>
      </w:tr>
    </w:tbl>
    <w:p>
      <w:pPr>
        <w:rPr>
          <w:rFonts w:ascii="Times New Roman" w:hAnsi="Times New Roman"/>
        </w:rPr>
      </w:pPr>
    </w:p>
    <w:tbl>
      <w:tblPr>
        <w:tblStyle w:val="7"/>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345" w:type="dxa"/>
            <w:vAlign w:val="center"/>
          </w:tcPr>
          <w:p>
            <w:pPr>
              <w:rPr>
                <w:rFonts w:ascii="Times New Roman" w:hAnsi="Times New Roman"/>
                <w:b/>
                <w:bCs/>
              </w:rPr>
            </w:pPr>
            <w:r>
              <w:rPr>
                <w:rFonts w:ascii="Times New Roman"/>
                <w:b/>
                <w:bCs/>
              </w:rPr>
              <w:t>表</w:t>
            </w:r>
            <w:r>
              <w:rPr>
                <w:rFonts w:ascii="Times New Roman" w:hAnsi="Times New Roman"/>
                <w:b/>
                <w:bCs/>
              </w:rPr>
              <w:t xml:space="preserve">2   </w:t>
            </w:r>
            <w:r>
              <w:rPr>
                <w:rFonts w:ascii="Times New Roman"/>
                <w:b/>
                <w:bCs/>
              </w:rPr>
              <w:t>与接收废物相关的处理处置情况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8" w:hRule="atLeast"/>
        </w:trPr>
        <w:tc>
          <w:tcPr>
            <w:tcW w:w="9345" w:type="dxa"/>
          </w:tcPr>
          <w:p>
            <w:pPr>
              <w:spacing w:line="300" w:lineRule="exact"/>
            </w:pPr>
          </w:p>
          <w:p>
            <w:pPr>
              <w:pStyle w:val="2"/>
              <w:spacing w:line="240" w:lineRule="auto"/>
              <w:jc w:val="left"/>
              <w:rPr>
                <w:rFonts w:hint="eastAsia" w:eastAsia="仿宋_GB2312"/>
                <w:lang w:eastAsia="zh-CN"/>
              </w:rPr>
            </w:pPr>
            <w:r>
              <w:rPr>
                <w:rFonts w:hint="eastAsia" w:eastAsia="仿宋_GB2312"/>
                <w:lang w:eastAsia="zh-CN"/>
              </w:rPr>
              <w:drawing>
                <wp:inline distT="0" distB="0" distL="114300" distR="114300">
                  <wp:extent cx="2887345" cy="4068445"/>
                  <wp:effectExtent l="0" t="0" r="8255" b="6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2"/>
                          <a:stretch>
                            <a:fillRect/>
                          </a:stretch>
                        </pic:blipFill>
                        <pic:spPr>
                          <a:xfrm>
                            <a:off x="0" y="0"/>
                            <a:ext cx="2887345" cy="4068445"/>
                          </a:xfrm>
                          <a:prstGeom prst="rect">
                            <a:avLst/>
                          </a:prstGeom>
                        </pic:spPr>
                      </pic:pic>
                    </a:graphicData>
                  </a:graphic>
                </wp:inline>
              </w:drawing>
            </w:r>
            <w:r>
              <w:rPr>
                <w:rFonts w:hint="eastAsia" w:eastAsia="仿宋_GB2312"/>
                <w:lang w:eastAsia="zh-CN"/>
              </w:rPr>
              <w:drawing>
                <wp:inline distT="0" distB="0" distL="114300" distR="114300">
                  <wp:extent cx="2880995" cy="4062730"/>
                  <wp:effectExtent l="0" t="0" r="14605" b="635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3"/>
                          <a:stretch>
                            <a:fillRect/>
                          </a:stretch>
                        </pic:blipFill>
                        <pic:spPr>
                          <a:xfrm>
                            <a:off x="0" y="0"/>
                            <a:ext cx="2880995" cy="4062730"/>
                          </a:xfrm>
                          <a:prstGeom prst="rect">
                            <a:avLst/>
                          </a:prstGeom>
                        </pic:spPr>
                      </pic:pic>
                    </a:graphicData>
                  </a:graphic>
                </wp:inline>
              </w:drawing>
            </w:r>
          </w:p>
        </w:tc>
      </w:tr>
    </w:tbl>
    <w:p>
      <w:pPr>
        <w:rPr>
          <w:rFonts w:ascii="Times New Roman" w:hAnsi="Times New Roman"/>
        </w:rPr>
        <w:sectPr>
          <w:footerReference r:id="rId6" w:type="default"/>
          <w:pgSz w:w="11906" w:h="16838"/>
          <w:pgMar w:top="1440" w:right="1797" w:bottom="1440" w:left="1797" w:header="851" w:footer="992" w:gutter="0"/>
          <w:cols w:space="425" w:num="1"/>
          <w:docGrid w:type="lines" w:linePitch="312" w:charSpace="0"/>
        </w:sectPr>
      </w:pPr>
    </w:p>
    <w:p>
      <w:pPr>
        <w:rPr>
          <w:rFonts w:ascii="Times New Roman" w:hAnsi="Times New Roman" w:eastAsia="黑体"/>
          <w:sz w:val="28"/>
          <w:szCs w:val="28"/>
        </w:rPr>
      </w:pPr>
      <w:r>
        <w:rPr>
          <w:rFonts w:ascii="Times New Roman" w:eastAsia="黑体"/>
          <w:sz w:val="28"/>
          <w:szCs w:val="28"/>
        </w:rPr>
        <w:t>第四部分</w:t>
      </w:r>
      <w:r>
        <w:rPr>
          <w:rFonts w:ascii="Times New Roman" w:hAnsi="Times New Roman" w:eastAsia="黑体"/>
          <w:sz w:val="28"/>
          <w:szCs w:val="28"/>
        </w:rPr>
        <w:t xml:space="preserve"> </w:t>
      </w:r>
      <w:r>
        <w:rPr>
          <w:rFonts w:ascii="Times New Roman" w:eastAsia="黑体"/>
          <w:sz w:val="28"/>
          <w:szCs w:val="28"/>
        </w:rPr>
        <w:t>上年度固体（危险）废物跨省转移情况</w:t>
      </w:r>
    </w:p>
    <w:tbl>
      <w:tblPr>
        <w:tblStyle w:val="7"/>
        <w:tblW w:w="1516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460"/>
        <w:gridCol w:w="1460"/>
        <w:gridCol w:w="1460"/>
        <w:gridCol w:w="1460"/>
        <w:gridCol w:w="1460"/>
        <w:gridCol w:w="1460"/>
        <w:gridCol w:w="1460"/>
        <w:gridCol w:w="146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vAlign w:val="center"/>
          </w:tcPr>
          <w:p>
            <w:pPr>
              <w:jc w:val="center"/>
              <w:rPr>
                <w:rFonts w:ascii="Times New Roman" w:hAnsi="Times New Roman"/>
              </w:rPr>
            </w:pPr>
            <w:r>
              <w:rPr>
                <w:rFonts w:ascii="Times New Roman" w:hAnsi="宋体"/>
              </w:rPr>
              <w:t>出厂日期</w:t>
            </w:r>
          </w:p>
        </w:tc>
        <w:tc>
          <w:tcPr>
            <w:tcW w:w="1460" w:type="dxa"/>
            <w:shd w:val="clear" w:color="auto" w:fill="auto"/>
            <w:vAlign w:val="center"/>
          </w:tcPr>
          <w:p>
            <w:pPr>
              <w:jc w:val="center"/>
              <w:rPr>
                <w:rFonts w:ascii="Times New Roman" w:hAnsi="Times New Roman"/>
              </w:rPr>
            </w:pPr>
            <w:r>
              <w:rPr>
                <w:rFonts w:ascii="Times New Roman" w:hAnsi="宋体"/>
              </w:rPr>
              <w:t>转移批次</w:t>
            </w:r>
          </w:p>
        </w:tc>
        <w:tc>
          <w:tcPr>
            <w:tcW w:w="1460" w:type="dxa"/>
            <w:shd w:val="clear" w:color="auto" w:fill="auto"/>
            <w:vAlign w:val="center"/>
          </w:tcPr>
          <w:p>
            <w:pPr>
              <w:jc w:val="center"/>
              <w:rPr>
                <w:rFonts w:ascii="Times New Roman" w:hAnsi="Times New Roman"/>
              </w:rPr>
            </w:pPr>
            <w:r>
              <w:rPr>
                <w:rFonts w:ascii="Times New Roman" w:hAnsi="宋体"/>
              </w:rPr>
              <w:t>联单编号</w:t>
            </w:r>
          </w:p>
        </w:tc>
        <w:tc>
          <w:tcPr>
            <w:tcW w:w="1460" w:type="dxa"/>
            <w:shd w:val="clear" w:color="auto" w:fill="auto"/>
            <w:vAlign w:val="center"/>
          </w:tcPr>
          <w:p>
            <w:pPr>
              <w:jc w:val="center"/>
              <w:rPr>
                <w:rFonts w:ascii="Times New Roman" w:hAnsi="Times New Roman"/>
              </w:rPr>
            </w:pPr>
            <w:r>
              <w:rPr>
                <w:rFonts w:ascii="Times New Roman" w:hAnsi="宋体"/>
              </w:rPr>
              <w:t>废物名称</w:t>
            </w:r>
          </w:p>
        </w:tc>
        <w:tc>
          <w:tcPr>
            <w:tcW w:w="1460" w:type="dxa"/>
            <w:shd w:val="clear" w:color="auto" w:fill="auto"/>
            <w:vAlign w:val="center"/>
          </w:tcPr>
          <w:p>
            <w:pPr>
              <w:jc w:val="center"/>
              <w:rPr>
                <w:rFonts w:ascii="Times New Roman" w:hAnsi="Times New Roman"/>
              </w:rPr>
            </w:pPr>
            <w:r>
              <w:rPr>
                <w:rFonts w:ascii="Times New Roman" w:hAnsi="宋体"/>
              </w:rPr>
              <w:t>类别</w:t>
            </w:r>
            <w:r>
              <w:rPr>
                <w:rFonts w:ascii="Times New Roman" w:hAnsi="Times New Roman"/>
              </w:rPr>
              <w:t>/</w:t>
            </w:r>
            <w:r>
              <w:rPr>
                <w:rFonts w:ascii="Times New Roman" w:hAnsi="宋体"/>
              </w:rPr>
              <w:t>代码</w:t>
            </w:r>
          </w:p>
        </w:tc>
        <w:tc>
          <w:tcPr>
            <w:tcW w:w="1460" w:type="dxa"/>
            <w:shd w:val="clear" w:color="auto" w:fill="auto"/>
            <w:vAlign w:val="center"/>
          </w:tcPr>
          <w:p>
            <w:pPr>
              <w:jc w:val="center"/>
              <w:rPr>
                <w:rFonts w:ascii="Times New Roman" w:hAnsi="Times New Roman"/>
              </w:rPr>
            </w:pPr>
            <w:r>
              <w:rPr>
                <w:rFonts w:ascii="Times New Roman" w:hAnsi="宋体"/>
              </w:rPr>
              <w:t>转移量（吨）</w:t>
            </w:r>
          </w:p>
        </w:tc>
        <w:tc>
          <w:tcPr>
            <w:tcW w:w="1460" w:type="dxa"/>
            <w:shd w:val="clear" w:color="auto" w:fill="auto"/>
            <w:vAlign w:val="center"/>
          </w:tcPr>
          <w:p>
            <w:pPr>
              <w:jc w:val="center"/>
              <w:rPr>
                <w:rFonts w:ascii="Times New Roman" w:hAnsi="Times New Roman"/>
              </w:rPr>
            </w:pPr>
            <w:r>
              <w:rPr>
                <w:rFonts w:ascii="Times New Roman"/>
              </w:rPr>
              <w:t>运输单位</w:t>
            </w:r>
          </w:p>
        </w:tc>
        <w:tc>
          <w:tcPr>
            <w:tcW w:w="1460" w:type="dxa"/>
            <w:vAlign w:val="center"/>
          </w:tcPr>
          <w:p>
            <w:pPr>
              <w:jc w:val="center"/>
              <w:rPr>
                <w:rFonts w:ascii="Times New Roman" w:hAnsi="Times New Roman"/>
              </w:rPr>
            </w:pPr>
            <w:r>
              <w:rPr>
                <w:rFonts w:ascii="Times New Roman"/>
              </w:rPr>
              <w:t>车号</w:t>
            </w:r>
          </w:p>
        </w:tc>
        <w:tc>
          <w:tcPr>
            <w:tcW w:w="1460" w:type="dxa"/>
            <w:vAlign w:val="center"/>
          </w:tcPr>
          <w:p>
            <w:pPr>
              <w:jc w:val="center"/>
              <w:rPr>
                <w:rFonts w:ascii="Times New Roman" w:hAnsi="Times New Roman"/>
              </w:rPr>
            </w:pPr>
            <w:r>
              <w:rPr>
                <w:rFonts w:ascii="Times New Roman" w:hAnsi="宋体"/>
              </w:rPr>
              <w:t>接收单位</w:t>
            </w:r>
          </w:p>
        </w:tc>
        <w:tc>
          <w:tcPr>
            <w:tcW w:w="1744" w:type="dxa"/>
            <w:vAlign w:val="center"/>
          </w:tcPr>
          <w:p>
            <w:pPr>
              <w:jc w:val="center"/>
              <w:rPr>
                <w:rFonts w:ascii="Times New Roman" w:hAnsi="Times New Roman"/>
              </w:rPr>
            </w:pPr>
            <w:r>
              <w:rPr>
                <w:rFonts w:ascii="Times New Roman" w:hAnsi="宋体"/>
              </w:rPr>
              <w:t>接收日期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center"/>
              <w:rPr>
                <w:rFonts w:ascii="Times New Roman" w:hAnsi="Times New Roman"/>
              </w:rPr>
            </w:pPr>
            <w:r>
              <w:rPr>
                <w:rFonts w:hint="eastAsia" w:ascii="Times New Roman" w:hAnsi="Times New Roman"/>
              </w:rPr>
              <w:t>无</w:t>
            </w: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r>
              <w:rPr>
                <w:rFonts w:ascii="Times New Roman"/>
              </w:rPr>
              <w:t>合计</w:t>
            </w: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bl>
    <w:p>
      <w:pPr>
        <w:spacing w:line="440" w:lineRule="exact"/>
        <w:jc w:val="left"/>
        <w:rPr>
          <w:rFonts w:ascii="Times New Roman"/>
        </w:rPr>
      </w:pPr>
      <w:r>
        <w:rPr>
          <w:rFonts w:ascii="Times New Roman"/>
        </w:rPr>
        <w:t>注：每种废物请填写合计量</w:t>
      </w:r>
    </w:p>
    <w:p>
      <w:pPr>
        <w:spacing w:line="440" w:lineRule="exact"/>
        <w:jc w:val="left"/>
        <w:rPr>
          <w:rFonts w:ascii="Times New Roman" w:hAnsi="Times New Roman"/>
        </w:rPr>
      </w:pPr>
      <w:r>
        <w:rPr>
          <w:rFonts w:ascii="Times New Roman"/>
        </w:rPr>
        <w:t>首次申请不需填写</w:t>
      </w:r>
    </w:p>
    <w:sectPr>
      <w:pgSz w:w="16838" w:h="11906" w:orient="landscape"/>
      <w:pgMar w:top="1797" w:right="1440" w:bottom="1134"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3C0041" w:csb1="00000000"/>
  </w:font>
  <w:font w:name="Wingdings 2">
    <w:panose1 w:val="05020102010507070707"/>
    <w:charset w:val="00"/>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eastAsia="zh-TW"/>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D64E7"/>
    <w:multiLevelType w:val="multilevel"/>
    <w:tmpl w:val="6D4D64E7"/>
    <w:lvl w:ilvl="0" w:tentative="0">
      <w:start w:val="2"/>
      <w:numFmt w:val="decimal"/>
      <w:lvlText w:val="%1、"/>
      <w:lvlJc w:val="left"/>
      <w:pPr>
        <w:ind w:left="360" w:hanging="360"/>
      </w:pPr>
      <w:rPr>
        <w:rFonts w:hint="default"/>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ZDE1NDY3MzdmM2IyNDBhYjgwOGQyNjcwNDc0YzEifQ=="/>
  </w:docVars>
  <w:rsids>
    <w:rsidRoot w:val="00513EC0"/>
    <w:rsid w:val="00000BBF"/>
    <w:rsid w:val="00000E90"/>
    <w:rsid w:val="00007DBF"/>
    <w:rsid w:val="00017FC7"/>
    <w:rsid w:val="00021CE0"/>
    <w:rsid w:val="00027076"/>
    <w:rsid w:val="00032D57"/>
    <w:rsid w:val="00043422"/>
    <w:rsid w:val="000443D1"/>
    <w:rsid w:val="000662F5"/>
    <w:rsid w:val="000919BD"/>
    <w:rsid w:val="000B1B33"/>
    <w:rsid w:val="000B6F71"/>
    <w:rsid w:val="000C1ECB"/>
    <w:rsid w:val="000C591E"/>
    <w:rsid w:val="000D21D6"/>
    <w:rsid w:val="000D35F1"/>
    <w:rsid w:val="000D3828"/>
    <w:rsid w:val="000F2298"/>
    <w:rsid w:val="000F7C39"/>
    <w:rsid w:val="00105FDD"/>
    <w:rsid w:val="00126937"/>
    <w:rsid w:val="00126B36"/>
    <w:rsid w:val="0014452C"/>
    <w:rsid w:val="00147B3C"/>
    <w:rsid w:val="001511A2"/>
    <w:rsid w:val="00160C8B"/>
    <w:rsid w:val="00166F7C"/>
    <w:rsid w:val="001776BB"/>
    <w:rsid w:val="00177B10"/>
    <w:rsid w:val="00183EFA"/>
    <w:rsid w:val="00184269"/>
    <w:rsid w:val="00192431"/>
    <w:rsid w:val="001A20C8"/>
    <w:rsid w:val="001A5ED9"/>
    <w:rsid w:val="001B102A"/>
    <w:rsid w:val="001B3625"/>
    <w:rsid w:val="001B487D"/>
    <w:rsid w:val="001B5962"/>
    <w:rsid w:val="001B75E2"/>
    <w:rsid w:val="001B79BA"/>
    <w:rsid w:val="001C1090"/>
    <w:rsid w:val="001C4293"/>
    <w:rsid w:val="001C7CDF"/>
    <w:rsid w:val="001D4BC0"/>
    <w:rsid w:val="001D5F67"/>
    <w:rsid w:val="001E0A6B"/>
    <w:rsid w:val="001F1AB7"/>
    <w:rsid w:val="001F5901"/>
    <w:rsid w:val="00200D22"/>
    <w:rsid w:val="0020243A"/>
    <w:rsid w:val="00207B7D"/>
    <w:rsid w:val="00207ED9"/>
    <w:rsid w:val="0021641B"/>
    <w:rsid w:val="002173E1"/>
    <w:rsid w:val="00222FD3"/>
    <w:rsid w:val="0023693D"/>
    <w:rsid w:val="002374CD"/>
    <w:rsid w:val="00241377"/>
    <w:rsid w:val="00250209"/>
    <w:rsid w:val="00254134"/>
    <w:rsid w:val="00255065"/>
    <w:rsid w:val="0026689F"/>
    <w:rsid w:val="002733FD"/>
    <w:rsid w:val="00285E97"/>
    <w:rsid w:val="00291966"/>
    <w:rsid w:val="002A48F9"/>
    <w:rsid w:val="002A5CEA"/>
    <w:rsid w:val="002A63E2"/>
    <w:rsid w:val="002A6FDB"/>
    <w:rsid w:val="002B2ADF"/>
    <w:rsid w:val="002B33DF"/>
    <w:rsid w:val="002B53B7"/>
    <w:rsid w:val="002B7A71"/>
    <w:rsid w:val="002C6403"/>
    <w:rsid w:val="002F0B97"/>
    <w:rsid w:val="002F6BDB"/>
    <w:rsid w:val="00300F4A"/>
    <w:rsid w:val="003048E9"/>
    <w:rsid w:val="003148A5"/>
    <w:rsid w:val="00317747"/>
    <w:rsid w:val="00321F99"/>
    <w:rsid w:val="00334566"/>
    <w:rsid w:val="00336EB5"/>
    <w:rsid w:val="00352174"/>
    <w:rsid w:val="00355ECB"/>
    <w:rsid w:val="00361393"/>
    <w:rsid w:val="00361720"/>
    <w:rsid w:val="003657E7"/>
    <w:rsid w:val="003735AE"/>
    <w:rsid w:val="00373E82"/>
    <w:rsid w:val="003854DB"/>
    <w:rsid w:val="00393A31"/>
    <w:rsid w:val="003A57B5"/>
    <w:rsid w:val="003C3820"/>
    <w:rsid w:val="003C7894"/>
    <w:rsid w:val="003F094C"/>
    <w:rsid w:val="003F5AD9"/>
    <w:rsid w:val="003F5AE3"/>
    <w:rsid w:val="004021E8"/>
    <w:rsid w:val="004043BE"/>
    <w:rsid w:val="004054EB"/>
    <w:rsid w:val="0040639F"/>
    <w:rsid w:val="00415E26"/>
    <w:rsid w:val="00423CE0"/>
    <w:rsid w:val="0042734B"/>
    <w:rsid w:val="0042773D"/>
    <w:rsid w:val="004336C7"/>
    <w:rsid w:val="0044064F"/>
    <w:rsid w:val="00447E1C"/>
    <w:rsid w:val="004515DE"/>
    <w:rsid w:val="004572EB"/>
    <w:rsid w:val="00482662"/>
    <w:rsid w:val="004853E4"/>
    <w:rsid w:val="00485D9F"/>
    <w:rsid w:val="004945E2"/>
    <w:rsid w:val="004969E8"/>
    <w:rsid w:val="004C5990"/>
    <w:rsid w:val="004E06AB"/>
    <w:rsid w:val="004E1C81"/>
    <w:rsid w:val="004F2E3F"/>
    <w:rsid w:val="004F6AD9"/>
    <w:rsid w:val="004F757B"/>
    <w:rsid w:val="005078A6"/>
    <w:rsid w:val="005110B2"/>
    <w:rsid w:val="00512B7C"/>
    <w:rsid w:val="00513EC0"/>
    <w:rsid w:val="005174FE"/>
    <w:rsid w:val="005510D6"/>
    <w:rsid w:val="005510E1"/>
    <w:rsid w:val="005542B2"/>
    <w:rsid w:val="00560A1E"/>
    <w:rsid w:val="005646C6"/>
    <w:rsid w:val="00575708"/>
    <w:rsid w:val="00576C93"/>
    <w:rsid w:val="005840D1"/>
    <w:rsid w:val="00593AD5"/>
    <w:rsid w:val="005A6A10"/>
    <w:rsid w:val="005D68CF"/>
    <w:rsid w:val="005D7878"/>
    <w:rsid w:val="005F4DA8"/>
    <w:rsid w:val="006031BE"/>
    <w:rsid w:val="00606239"/>
    <w:rsid w:val="00610579"/>
    <w:rsid w:val="00627A6D"/>
    <w:rsid w:val="00635E3D"/>
    <w:rsid w:val="00640D16"/>
    <w:rsid w:val="00644237"/>
    <w:rsid w:val="00645E31"/>
    <w:rsid w:val="006461CF"/>
    <w:rsid w:val="00647E0E"/>
    <w:rsid w:val="00650FA2"/>
    <w:rsid w:val="00661DE7"/>
    <w:rsid w:val="00667529"/>
    <w:rsid w:val="00676D55"/>
    <w:rsid w:val="00683B0C"/>
    <w:rsid w:val="00684CAD"/>
    <w:rsid w:val="0068749D"/>
    <w:rsid w:val="00692968"/>
    <w:rsid w:val="006A1468"/>
    <w:rsid w:val="006B37CF"/>
    <w:rsid w:val="006B4111"/>
    <w:rsid w:val="006B6180"/>
    <w:rsid w:val="006C152D"/>
    <w:rsid w:val="006C7F51"/>
    <w:rsid w:val="006F59F0"/>
    <w:rsid w:val="00710246"/>
    <w:rsid w:val="00710CD7"/>
    <w:rsid w:val="00715F8C"/>
    <w:rsid w:val="007222A9"/>
    <w:rsid w:val="007226B8"/>
    <w:rsid w:val="00734CDF"/>
    <w:rsid w:val="00735F58"/>
    <w:rsid w:val="007361CF"/>
    <w:rsid w:val="00741BE1"/>
    <w:rsid w:val="007573B9"/>
    <w:rsid w:val="00775203"/>
    <w:rsid w:val="00784DB3"/>
    <w:rsid w:val="00785914"/>
    <w:rsid w:val="007917AE"/>
    <w:rsid w:val="007933AB"/>
    <w:rsid w:val="0079387E"/>
    <w:rsid w:val="00796726"/>
    <w:rsid w:val="007A30BE"/>
    <w:rsid w:val="007B0117"/>
    <w:rsid w:val="007B77B0"/>
    <w:rsid w:val="007C36F4"/>
    <w:rsid w:val="007C6333"/>
    <w:rsid w:val="007D1710"/>
    <w:rsid w:val="007D44CE"/>
    <w:rsid w:val="007E3213"/>
    <w:rsid w:val="007E3677"/>
    <w:rsid w:val="007E3FD2"/>
    <w:rsid w:val="007E5228"/>
    <w:rsid w:val="008103B4"/>
    <w:rsid w:val="00814B23"/>
    <w:rsid w:val="00821B8F"/>
    <w:rsid w:val="00821DAF"/>
    <w:rsid w:val="00823D5E"/>
    <w:rsid w:val="00830D66"/>
    <w:rsid w:val="00835F45"/>
    <w:rsid w:val="00860475"/>
    <w:rsid w:val="008646DA"/>
    <w:rsid w:val="00872D75"/>
    <w:rsid w:val="00886A9F"/>
    <w:rsid w:val="00886F6F"/>
    <w:rsid w:val="00895392"/>
    <w:rsid w:val="008958B2"/>
    <w:rsid w:val="00896E96"/>
    <w:rsid w:val="008A087F"/>
    <w:rsid w:val="008B0FB1"/>
    <w:rsid w:val="008B4188"/>
    <w:rsid w:val="008B6F28"/>
    <w:rsid w:val="008C1D8D"/>
    <w:rsid w:val="008D0278"/>
    <w:rsid w:val="008D3DBE"/>
    <w:rsid w:val="008D67BC"/>
    <w:rsid w:val="008E228C"/>
    <w:rsid w:val="008E6C24"/>
    <w:rsid w:val="00912642"/>
    <w:rsid w:val="009240AC"/>
    <w:rsid w:val="00925004"/>
    <w:rsid w:val="009331E1"/>
    <w:rsid w:val="0093539F"/>
    <w:rsid w:val="009462B5"/>
    <w:rsid w:val="0098563C"/>
    <w:rsid w:val="00994730"/>
    <w:rsid w:val="009A030E"/>
    <w:rsid w:val="009A4FBD"/>
    <w:rsid w:val="009A51A6"/>
    <w:rsid w:val="009A7F75"/>
    <w:rsid w:val="009D47F8"/>
    <w:rsid w:val="009D6467"/>
    <w:rsid w:val="009D7EE4"/>
    <w:rsid w:val="009F3A6B"/>
    <w:rsid w:val="009F780D"/>
    <w:rsid w:val="00A025BE"/>
    <w:rsid w:val="00A033C7"/>
    <w:rsid w:val="00A07EF2"/>
    <w:rsid w:val="00A22006"/>
    <w:rsid w:val="00A220CE"/>
    <w:rsid w:val="00A23239"/>
    <w:rsid w:val="00A35B5C"/>
    <w:rsid w:val="00A40BC5"/>
    <w:rsid w:val="00A4364D"/>
    <w:rsid w:val="00A50BDE"/>
    <w:rsid w:val="00A5276F"/>
    <w:rsid w:val="00A539AB"/>
    <w:rsid w:val="00A64906"/>
    <w:rsid w:val="00A64973"/>
    <w:rsid w:val="00A6700A"/>
    <w:rsid w:val="00A7233D"/>
    <w:rsid w:val="00A72679"/>
    <w:rsid w:val="00A93A49"/>
    <w:rsid w:val="00AA03F0"/>
    <w:rsid w:val="00AA0C4E"/>
    <w:rsid w:val="00AB3709"/>
    <w:rsid w:val="00AC29A2"/>
    <w:rsid w:val="00AD5E55"/>
    <w:rsid w:val="00AE2536"/>
    <w:rsid w:val="00AF6B52"/>
    <w:rsid w:val="00AF6CC7"/>
    <w:rsid w:val="00B12771"/>
    <w:rsid w:val="00B12B5B"/>
    <w:rsid w:val="00B13125"/>
    <w:rsid w:val="00B13EB3"/>
    <w:rsid w:val="00B17578"/>
    <w:rsid w:val="00B41C2B"/>
    <w:rsid w:val="00B602C6"/>
    <w:rsid w:val="00B61679"/>
    <w:rsid w:val="00B758BB"/>
    <w:rsid w:val="00B764C3"/>
    <w:rsid w:val="00B80E5F"/>
    <w:rsid w:val="00B92695"/>
    <w:rsid w:val="00B94005"/>
    <w:rsid w:val="00BB01C8"/>
    <w:rsid w:val="00BC108A"/>
    <w:rsid w:val="00BC509D"/>
    <w:rsid w:val="00BD09D2"/>
    <w:rsid w:val="00BF6889"/>
    <w:rsid w:val="00C06E74"/>
    <w:rsid w:val="00C0779D"/>
    <w:rsid w:val="00C11A05"/>
    <w:rsid w:val="00C12BD7"/>
    <w:rsid w:val="00C23BF0"/>
    <w:rsid w:val="00C31E8E"/>
    <w:rsid w:val="00C33AF6"/>
    <w:rsid w:val="00C34EE6"/>
    <w:rsid w:val="00C36A96"/>
    <w:rsid w:val="00C44C4F"/>
    <w:rsid w:val="00C47C96"/>
    <w:rsid w:val="00C578AE"/>
    <w:rsid w:val="00C71FE8"/>
    <w:rsid w:val="00C81013"/>
    <w:rsid w:val="00C81F35"/>
    <w:rsid w:val="00C91773"/>
    <w:rsid w:val="00CA6E9A"/>
    <w:rsid w:val="00CC2FCC"/>
    <w:rsid w:val="00CD0057"/>
    <w:rsid w:val="00CD5F3F"/>
    <w:rsid w:val="00CE1029"/>
    <w:rsid w:val="00CE75CF"/>
    <w:rsid w:val="00CF0253"/>
    <w:rsid w:val="00CF4AF9"/>
    <w:rsid w:val="00CF51C3"/>
    <w:rsid w:val="00D00DFA"/>
    <w:rsid w:val="00D3037D"/>
    <w:rsid w:val="00D3108B"/>
    <w:rsid w:val="00D31E9E"/>
    <w:rsid w:val="00D443E5"/>
    <w:rsid w:val="00D51358"/>
    <w:rsid w:val="00D61851"/>
    <w:rsid w:val="00D658AA"/>
    <w:rsid w:val="00D76B45"/>
    <w:rsid w:val="00D777E9"/>
    <w:rsid w:val="00D85F61"/>
    <w:rsid w:val="00D876F0"/>
    <w:rsid w:val="00D90DEC"/>
    <w:rsid w:val="00D91A52"/>
    <w:rsid w:val="00DA2FE9"/>
    <w:rsid w:val="00DA6F4C"/>
    <w:rsid w:val="00DB0054"/>
    <w:rsid w:val="00DB40E1"/>
    <w:rsid w:val="00DB430D"/>
    <w:rsid w:val="00DB4D9A"/>
    <w:rsid w:val="00DC5324"/>
    <w:rsid w:val="00DC6934"/>
    <w:rsid w:val="00DD64E5"/>
    <w:rsid w:val="00DF1279"/>
    <w:rsid w:val="00DF7E0D"/>
    <w:rsid w:val="00E029E3"/>
    <w:rsid w:val="00E03C23"/>
    <w:rsid w:val="00E06953"/>
    <w:rsid w:val="00E1171C"/>
    <w:rsid w:val="00E30BE1"/>
    <w:rsid w:val="00E33BF2"/>
    <w:rsid w:val="00E4195E"/>
    <w:rsid w:val="00E42A47"/>
    <w:rsid w:val="00E521B8"/>
    <w:rsid w:val="00E54D24"/>
    <w:rsid w:val="00E56996"/>
    <w:rsid w:val="00E62466"/>
    <w:rsid w:val="00E66432"/>
    <w:rsid w:val="00E71ED3"/>
    <w:rsid w:val="00E778A2"/>
    <w:rsid w:val="00E84148"/>
    <w:rsid w:val="00E87763"/>
    <w:rsid w:val="00E92B87"/>
    <w:rsid w:val="00E95267"/>
    <w:rsid w:val="00E952D0"/>
    <w:rsid w:val="00EA051E"/>
    <w:rsid w:val="00EA1241"/>
    <w:rsid w:val="00EA4C7D"/>
    <w:rsid w:val="00EA5992"/>
    <w:rsid w:val="00EA61BB"/>
    <w:rsid w:val="00EB0E22"/>
    <w:rsid w:val="00EB5066"/>
    <w:rsid w:val="00EC3F05"/>
    <w:rsid w:val="00ED030A"/>
    <w:rsid w:val="00ED5626"/>
    <w:rsid w:val="00ED68AF"/>
    <w:rsid w:val="00EE1472"/>
    <w:rsid w:val="00EE14CE"/>
    <w:rsid w:val="00EE2AF1"/>
    <w:rsid w:val="00EE6C27"/>
    <w:rsid w:val="00EE7DBE"/>
    <w:rsid w:val="00EF2566"/>
    <w:rsid w:val="00EF35DA"/>
    <w:rsid w:val="00F04045"/>
    <w:rsid w:val="00F053F6"/>
    <w:rsid w:val="00F13162"/>
    <w:rsid w:val="00F21990"/>
    <w:rsid w:val="00F32ABE"/>
    <w:rsid w:val="00F4132A"/>
    <w:rsid w:val="00F52EAA"/>
    <w:rsid w:val="00F56852"/>
    <w:rsid w:val="00F6103B"/>
    <w:rsid w:val="00F617C0"/>
    <w:rsid w:val="00F63642"/>
    <w:rsid w:val="00F6457F"/>
    <w:rsid w:val="00F66F84"/>
    <w:rsid w:val="00F72B46"/>
    <w:rsid w:val="00F7601B"/>
    <w:rsid w:val="00F83281"/>
    <w:rsid w:val="00F84038"/>
    <w:rsid w:val="00F94D21"/>
    <w:rsid w:val="00FA2899"/>
    <w:rsid w:val="00FA6346"/>
    <w:rsid w:val="00FB4B6C"/>
    <w:rsid w:val="00FB678C"/>
    <w:rsid w:val="00FB6FE2"/>
    <w:rsid w:val="00FD69F7"/>
    <w:rsid w:val="00FE15EF"/>
    <w:rsid w:val="00FE1A84"/>
    <w:rsid w:val="00FE1FAD"/>
    <w:rsid w:val="019E603B"/>
    <w:rsid w:val="01AA7835"/>
    <w:rsid w:val="09880FB5"/>
    <w:rsid w:val="09B944E0"/>
    <w:rsid w:val="198E7334"/>
    <w:rsid w:val="1D6E0641"/>
    <w:rsid w:val="1EFA3709"/>
    <w:rsid w:val="22D36EB3"/>
    <w:rsid w:val="28070DAE"/>
    <w:rsid w:val="29652D57"/>
    <w:rsid w:val="2BCC301F"/>
    <w:rsid w:val="2DCC1316"/>
    <w:rsid w:val="308C7275"/>
    <w:rsid w:val="33FE5AAE"/>
    <w:rsid w:val="34A877BA"/>
    <w:rsid w:val="395608AA"/>
    <w:rsid w:val="420C2D36"/>
    <w:rsid w:val="421F3826"/>
    <w:rsid w:val="45992437"/>
    <w:rsid w:val="48564B5F"/>
    <w:rsid w:val="575366E4"/>
    <w:rsid w:val="597C20E7"/>
    <w:rsid w:val="59E84811"/>
    <w:rsid w:val="5BF97CCD"/>
    <w:rsid w:val="5C3453B4"/>
    <w:rsid w:val="5C821E44"/>
    <w:rsid w:val="5CA33DF0"/>
    <w:rsid w:val="5F5F512D"/>
    <w:rsid w:val="603B2115"/>
    <w:rsid w:val="6B162CFB"/>
    <w:rsid w:val="6D4615D5"/>
    <w:rsid w:val="70797E41"/>
    <w:rsid w:val="751D12DB"/>
    <w:rsid w:val="7BDC4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0" w:lineRule="exact"/>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pPr>
      <w:adjustRightInd w:val="0"/>
      <w:snapToGrid w:val="0"/>
    </w:pPr>
    <w:rPr>
      <w:rFonts w:ascii="仿宋_GB2312" w:eastAsia="仿宋_GB2312"/>
      <w:sz w:val="24"/>
      <w:szCs w:val="24"/>
    </w:rPr>
  </w:style>
  <w:style w:type="paragraph" w:styleId="3">
    <w:name w:val="Plain Text"/>
    <w:basedOn w:val="1"/>
    <w:link w:val="12"/>
    <w:semiHidden/>
    <w:unhideWhenUsed/>
    <w:qFormat/>
    <w:uiPriority w:val="99"/>
    <w:pPr>
      <w:spacing w:line="240" w:lineRule="auto"/>
    </w:pPr>
    <w:rPr>
      <w:rFonts w:ascii="宋体" w:hAnsi="Courier New" w:cs="Courier New"/>
      <w:szCs w:val="21"/>
    </w:rPr>
  </w:style>
  <w:style w:type="paragraph" w:styleId="4">
    <w:name w:val="Balloon Text"/>
    <w:basedOn w:val="1"/>
    <w:link w:val="13"/>
    <w:semiHidden/>
    <w:unhideWhenUsed/>
    <w:qFormat/>
    <w:uiPriority w:val="99"/>
    <w:pPr>
      <w:spacing w:line="240" w:lineRule="auto"/>
    </w:pPr>
    <w:rPr>
      <w:rFonts w:asciiTheme="majorHAnsi" w:hAnsiTheme="majorHAnsi" w:eastAsiaTheme="majorEastAsia" w:cstheme="majorBidi"/>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
    <w:name w:val="頁首 字元"/>
    <w:basedOn w:val="8"/>
    <w:link w:val="6"/>
    <w:qFormat/>
    <w:uiPriority w:val="99"/>
    <w:rPr>
      <w:sz w:val="18"/>
      <w:szCs w:val="18"/>
    </w:rPr>
  </w:style>
  <w:style w:type="character" w:customStyle="1" w:styleId="11">
    <w:name w:val="頁尾 字元"/>
    <w:basedOn w:val="8"/>
    <w:link w:val="5"/>
    <w:qFormat/>
    <w:uiPriority w:val="99"/>
    <w:rPr>
      <w:sz w:val="18"/>
      <w:szCs w:val="18"/>
    </w:rPr>
  </w:style>
  <w:style w:type="character" w:customStyle="1" w:styleId="12">
    <w:name w:val="純文字 字元"/>
    <w:basedOn w:val="8"/>
    <w:link w:val="3"/>
    <w:semiHidden/>
    <w:qFormat/>
    <w:uiPriority w:val="99"/>
    <w:rPr>
      <w:rFonts w:ascii="宋体" w:hAnsi="Courier New" w:eastAsia="宋体" w:cs="Courier New"/>
      <w:szCs w:val="21"/>
    </w:rPr>
  </w:style>
  <w:style w:type="character" w:customStyle="1" w:styleId="13">
    <w:name w:val="註解方塊文字 字元"/>
    <w:basedOn w:val="8"/>
    <w:link w:val="4"/>
    <w:semiHidden/>
    <w:qFormat/>
    <w:uiPriority w:val="99"/>
    <w:rPr>
      <w:rFonts w:asciiTheme="majorHAnsi" w:hAnsiTheme="majorHAnsi" w:eastAsiaTheme="majorEastAsia" w:cstheme="majorBidi"/>
      <w:kern w:val="2"/>
      <w:sz w:val="18"/>
      <w:szCs w:val="18"/>
      <w:lang w:eastAsia="zh-CN"/>
    </w:rPr>
  </w:style>
  <w:style w:type="paragraph" w:styleId="14">
    <w:name w:val="List Paragraph"/>
    <w:basedOn w:val="1"/>
    <w:unhideWhenUsed/>
    <w:qFormat/>
    <w:uiPriority w:val="99"/>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DA4E74-E081-49EE-A5EC-DBC83947AF4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3514</Words>
  <Characters>3667</Characters>
  <Lines>13</Lines>
  <Paragraphs>3</Paragraphs>
  <TotalTime>6</TotalTime>
  <ScaleCrop>false</ScaleCrop>
  <LinksUpToDate>false</LinksUpToDate>
  <CharactersWithSpaces>4102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2016-12-02T01:53:00Z</dcterms:created>
  <dc:creator>acer</dc:creator>
  <cp:lastModifiedBy>86182</cp:lastModifiedBy>
  <cp:lastPrinted>2021-12-18T03:33:00Z</cp:lastPrinted>
  <dcterms:modified xsi:type="dcterms:W3CDTF">2023-03-31T02:41:33Z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B317E1FB4E4F408D8A23EB032F438C77</vt:lpwstr>
  </property>
</Properties>
</file>