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30"/>
          <w:tab w:val="left" w:pos="7655"/>
        </w:tabs>
        <w:overflowPunct w:val="0"/>
        <w:autoSpaceDE w:val="0"/>
        <w:autoSpaceDN w:val="0"/>
        <w:adjustRightInd w:val="0"/>
        <w:snapToGrid w:val="0"/>
        <w:spacing w:line="570" w:lineRule="exact"/>
        <w:jc w:val="center"/>
        <w:rPr>
          <w:rFonts w:ascii="方正小标宋简体" w:eastAsia="方正小标宋简体"/>
          <w:bCs/>
          <w:sz w:val="28"/>
          <w:szCs w:val="32"/>
          <w:shd w:val="clear" w:color="auto" w:fill="FFFFFF"/>
        </w:rPr>
      </w:pPr>
    </w:p>
    <w:p>
      <w:pPr>
        <w:overflowPunct w:val="0"/>
        <w:autoSpaceDE w:val="0"/>
        <w:autoSpaceDN w:val="0"/>
        <w:adjustRightInd w:val="0"/>
        <w:snapToGrid w:val="0"/>
        <w:spacing w:line="570" w:lineRule="exact"/>
        <w:jc w:val="center"/>
        <w:rPr>
          <w:rFonts w:ascii="方正小标宋简体" w:eastAsia="方正小标宋简体"/>
          <w:sz w:val="44"/>
          <w:szCs w:val="44"/>
        </w:rPr>
      </w:pPr>
      <w:r>
        <w:rPr>
          <w:rFonts w:hint="eastAsia" w:ascii="方正小标宋简体" w:eastAsia="方正小标宋简体"/>
          <w:sz w:val="44"/>
          <w:szCs w:val="44"/>
        </w:rPr>
        <w:t>常州市科技局“科技创新助</w:t>
      </w:r>
      <w:r>
        <w:rPr>
          <w:rFonts w:hint="eastAsia" w:ascii="方正小标宋简体" w:eastAsia="方正小标宋简体"/>
          <w:sz w:val="44"/>
          <w:szCs w:val="44"/>
          <w:lang w:val="en-US" w:eastAsia="zh-CN"/>
        </w:rPr>
        <w:t>力</w:t>
      </w:r>
      <w:r>
        <w:rPr>
          <w:rFonts w:hint="eastAsia" w:ascii="方正小标宋简体" w:eastAsia="方正小标宋简体"/>
          <w:sz w:val="44"/>
          <w:szCs w:val="44"/>
        </w:rPr>
        <w:t>新能源之都建设”</w:t>
      </w:r>
    </w:p>
    <w:p>
      <w:pPr>
        <w:overflowPunct w:val="0"/>
        <w:autoSpaceDE w:val="0"/>
        <w:autoSpaceDN w:val="0"/>
        <w:adjustRightInd w:val="0"/>
        <w:snapToGrid w:val="0"/>
        <w:spacing w:before="120" w:line="570" w:lineRule="exact"/>
        <w:jc w:val="center"/>
        <w:rPr>
          <w:rFonts w:ascii="方正小标宋简体" w:eastAsia="方正小标宋简体"/>
          <w:sz w:val="44"/>
          <w:szCs w:val="44"/>
        </w:rPr>
      </w:pPr>
      <w:r>
        <w:rPr>
          <w:rFonts w:hint="eastAsia" w:ascii="方正小标宋简体" w:eastAsia="方正小标宋简体"/>
          <w:sz w:val="44"/>
          <w:szCs w:val="44"/>
        </w:rPr>
        <w:t>专项行动计划（2023-2025）</w:t>
      </w:r>
    </w:p>
    <w:p>
      <w:pPr>
        <w:overflowPunct w:val="0"/>
        <w:autoSpaceDE w:val="0"/>
        <w:autoSpaceDN w:val="0"/>
        <w:adjustRightInd w:val="0"/>
        <w:snapToGrid w:val="0"/>
        <w:spacing w:line="570" w:lineRule="exact"/>
        <w:jc w:val="center"/>
        <w:rPr>
          <w:rFonts w:ascii="方正小标宋简体" w:eastAsia="方正小标宋简体"/>
          <w:sz w:val="32"/>
          <w:szCs w:val="44"/>
        </w:rPr>
      </w:pPr>
    </w:p>
    <w:p>
      <w:pPr>
        <w:overflowPunct w:val="0"/>
        <w:autoSpaceDE w:val="0"/>
        <w:autoSpaceDN w:val="0"/>
        <w:adjustRightInd w:val="0"/>
        <w:snapToGrid w:val="0"/>
        <w:spacing w:line="570" w:lineRule="exact"/>
        <w:ind w:firstLine="641"/>
        <w:rPr>
          <w:rFonts w:eastAsia="仿宋_GB2312"/>
          <w:sz w:val="32"/>
          <w:szCs w:val="44"/>
        </w:rPr>
      </w:pPr>
      <w:r>
        <w:rPr>
          <w:rFonts w:eastAsia="仿宋_GB2312"/>
          <w:sz w:val="32"/>
          <w:szCs w:val="44"/>
        </w:rPr>
        <w:t>为贯彻落实党的二十大精神，加快落实市委市政府《关于加快新能源之都建设的实施意见》的决策部署，围绕“国际化智造名城、长三角中轴枢纽”城市定位，充分发挥科学技术作为第一生产力的作用，促进新能源产业创新发展能级进一步提升，助力打造引领长三角、辐射全国、全球有影响力的新能源之都，现</w:t>
      </w:r>
      <w:r>
        <w:rPr>
          <w:rFonts w:eastAsia="仿宋_GB2312"/>
          <w:color w:val="000000"/>
          <w:kern w:val="32"/>
          <w:sz w:val="32"/>
          <w:szCs w:val="32"/>
        </w:rPr>
        <w:t>制定如下专项行动计划。</w:t>
      </w:r>
    </w:p>
    <w:p>
      <w:pPr>
        <w:overflowPunct w:val="0"/>
        <w:autoSpaceDE w:val="0"/>
        <w:autoSpaceDN w:val="0"/>
        <w:adjustRightInd w:val="0"/>
        <w:snapToGrid w:val="0"/>
        <w:spacing w:line="570" w:lineRule="exact"/>
        <w:ind w:firstLine="641"/>
        <w:rPr>
          <w:rFonts w:eastAsia="黑体"/>
          <w:sz w:val="32"/>
          <w:szCs w:val="44"/>
        </w:rPr>
      </w:pPr>
      <w:r>
        <w:rPr>
          <w:rFonts w:eastAsia="黑体"/>
          <w:sz w:val="32"/>
          <w:szCs w:val="44"/>
        </w:rPr>
        <w:t>一、总体思路</w:t>
      </w:r>
    </w:p>
    <w:p>
      <w:pPr>
        <w:overflowPunct w:val="0"/>
        <w:autoSpaceDE w:val="0"/>
        <w:autoSpaceDN w:val="0"/>
        <w:adjustRightInd w:val="0"/>
        <w:snapToGrid w:val="0"/>
        <w:spacing w:line="570" w:lineRule="exact"/>
        <w:ind w:firstLine="641"/>
        <w:rPr>
          <w:rFonts w:eastAsia="仿宋_GB2312"/>
          <w:sz w:val="32"/>
          <w:szCs w:val="44"/>
        </w:rPr>
      </w:pPr>
      <w:r>
        <w:rPr>
          <w:rFonts w:eastAsia="仿宋_GB2312"/>
          <w:sz w:val="32"/>
          <w:szCs w:val="44"/>
        </w:rPr>
        <w:t>围绕“发、储、送、用”环节，瞄准太阳能光伏、动力储能电池、新型电力装备、新能源汽车及汽车核心零部件和未来氢能产业技术创新需求，通过加快核心技术攻关、大力建设创新平台、着力培育创新主体、加速集聚创新人才、全面优化创新生态，聚焦新能源产业开辟发展新领域新赛道，不断塑造发展新动能新优势。</w:t>
      </w:r>
    </w:p>
    <w:p>
      <w:pPr>
        <w:overflowPunct w:val="0"/>
        <w:autoSpaceDE w:val="0"/>
        <w:autoSpaceDN w:val="0"/>
        <w:adjustRightInd w:val="0"/>
        <w:snapToGrid w:val="0"/>
        <w:spacing w:line="570" w:lineRule="exact"/>
        <w:ind w:firstLine="641"/>
        <w:rPr>
          <w:rFonts w:eastAsia="黑体"/>
          <w:sz w:val="32"/>
          <w:szCs w:val="44"/>
        </w:rPr>
      </w:pPr>
      <w:r>
        <w:rPr>
          <w:rFonts w:eastAsia="黑体"/>
          <w:sz w:val="32"/>
          <w:szCs w:val="44"/>
        </w:rPr>
        <w:t>二、主要目标</w:t>
      </w:r>
    </w:p>
    <w:p>
      <w:pPr>
        <w:pStyle w:val="7"/>
        <w:overflowPunct w:val="0"/>
        <w:autoSpaceDE w:val="0"/>
        <w:autoSpaceDN w:val="0"/>
        <w:adjustRightInd w:val="0"/>
        <w:snapToGrid w:val="0"/>
        <w:spacing w:after="0" w:line="570" w:lineRule="exact"/>
        <w:ind w:firstLine="641"/>
        <w:rPr>
          <w:rFonts w:eastAsia="仿宋_GB2312"/>
          <w:sz w:val="32"/>
          <w:szCs w:val="44"/>
        </w:rPr>
      </w:pPr>
      <w:r>
        <w:rPr>
          <w:rFonts w:eastAsia="仿宋_GB2312"/>
          <w:sz w:val="32"/>
          <w:szCs w:val="44"/>
        </w:rPr>
        <w:t>到2025年，围绕建立、完善以企业为主体、市场为导向、人才为支撑、产学研用协同的新能源产业技术创新体系，全市科技创新工作完成四大目标：</w:t>
      </w:r>
    </w:p>
    <w:p>
      <w:pPr>
        <w:pStyle w:val="7"/>
        <w:overflowPunct w:val="0"/>
        <w:autoSpaceDE w:val="0"/>
        <w:autoSpaceDN w:val="0"/>
        <w:adjustRightInd w:val="0"/>
        <w:snapToGrid w:val="0"/>
        <w:spacing w:after="0" w:line="570" w:lineRule="exact"/>
        <w:ind w:firstLine="641"/>
        <w:rPr>
          <w:rFonts w:eastAsia="仿宋_GB2312"/>
          <w:color w:val="000000"/>
          <w:kern w:val="32"/>
          <w:sz w:val="32"/>
          <w:szCs w:val="32"/>
        </w:rPr>
      </w:pPr>
      <w:r>
        <w:rPr>
          <w:rFonts w:ascii="黑体" w:hAnsi="黑体" w:eastAsia="黑体"/>
          <w:bCs/>
          <w:color w:val="000000"/>
          <w:kern w:val="32"/>
          <w:sz w:val="32"/>
          <w:szCs w:val="32"/>
        </w:rPr>
        <w:t>——</w:t>
      </w:r>
      <w:r>
        <w:rPr>
          <w:rFonts w:eastAsia="楷体_GB2312"/>
          <w:b/>
          <w:bCs/>
          <w:color w:val="000000"/>
          <w:kern w:val="32"/>
          <w:sz w:val="32"/>
          <w:szCs w:val="32"/>
        </w:rPr>
        <w:t>“促研发”：</w:t>
      </w:r>
      <w:r>
        <w:rPr>
          <w:rFonts w:eastAsia="仿宋_GB2312"/>
          <w:color w:val="000000"/>
          <w:kern w:val="32"/>
          <w:sz w:val="32"/>
          <w:szCs w:val="32"/>
        </w:rPr>
        <w:t>组织实施相关技术领域基础研究、关键核心技术攻关和科技成果转化项目超30项，实施国内外揭榜挂帅项目30项以上，争取省级以上项目支持超15项。</w:t>
      </w:r>
    </w:p>
    <w:p>
      <w:pPr>
        <w:pStyle w:val="7"/>
        <w:overflowPunct w:val="0"/>
        <w:autoSpaceDE w:val="0"/>
        <w:autoSpaceDN w:val="0"/>
        <w:adjustRightInd w:val="0"/>
        <w:snapToGrid w:val="0"/>
        <w:spacing w:after="0" w:line="570" w:lineRule="exact"/>
        <w:ind w:firstLine="641"/>
        <w:rPr>
          <w:rFonts w:eastAsia="仿宋_GB2312"/>
          <w:color w:val="000000"/>
          <w:kern w:val="32"/>
          <w:sz w:val="32"/>
          <w:szCs w:val="32"/>
        </w:rPr>
      </w:pPr>
      <w:r>
        <w:rPr>
          <w:rFonts w:ascii="黑体" w:hAnsi="黑体" w:eastAsia="黑体"/>
          <w:bCs/>
          <w:color w:val="000000"/>
          <w:kern w:val="32"/>
          <w:sz w:val="32"/>
          <w:szCs w:val="32"/>
        </w:rPr>
        <w:t>——</w:t>
      </w:r>
      <w:r>
        <w:rPr>
          <w:rFonts w:eastAsia="楷体_GB2312"/>
          <w:b/>
          <w:bCs/>
          <w:color w:val="000000"/>
          <w:kern w:val="32"/>
          <w:sz w:val="32"/>
          <w:szCs w:val="32"/>
        </w:rPr>
        <w:t>“建平台”：</w:t>
      </w:r>
      <w:r>
        <w:rPr>
          <w:rFonts w:eastAsia="仿宋_GB2312"/>
          <w:color w:val="000000"/>
          <w:kern w:val="32"/>
          <w:sz w:val="32"/>
          <w:szCs w:val="32"/>
        </w:rPr>
        <w:t>力争创建国家级创新平台2-3家，建设省级以上高水平企业研发机构10家。</w:t>
      </w:r>
    </w:p>
    <w:p>
      <w:pPr>
        <w:pStyle w:val="7"/>
        <w:overflowPunct w:val="0"/>
        <w:autoSpaceDE w:val="0"/>
        <w:autoSpaceDN w:val="0"/>
        <w:adjustRightInd w:val="0"/>
        <w:snapToGrid w:val="0"/>
        <w:spacing w:after="0" w:line="570" w:lineRule="exact"/>
        <w:ind w:firstLine="641"/>
        <w:rPr>
          <w:rFonts w:eastAsia="仿宋_GB2312"/>
          <w:color w:val="000000"/>
          <w:kern w:val="32"/>
          <w:sz w:val="32"/>
          <w:szCs w:val="32"/>
        </w:rPr>
      </w:pPr>
      <w:r>
        <w:rPr>
          <w:rFonts w:ascii="黑体" w:hAnsi="黑体" w:eastAsia="黑体"/>
          <w:bCs/>
          <w:color w:val="000000"/>
          <w:kern w:val="32"/>
          <w:sz w:val="32"/>
          <w:szCs w:val="32"/>
        </w:rPr>
        <w:t>——</w:t>
      </w:r>
      <w:r>
        <w:rPr>
          <w:rFonts w:eastAsia="楷体_GB2312"/>
          <w:b/>
          <w:bCs/>
          <w:color w:val="000000"/>
          <w:kern w:val="32"/>
          <w:sz w:val="32"/>
          <w:szCs w:val="32"/>
        </w:rPr>
        <w:t>“强主体”：</w:t>
      </w:r>
      <w:r>
        <w:rPr>
          <w:rFonts w:eastAsia="仿宋_GB2312"/>
          <w:color w:val="000000"/>
          <w:kern w:val="32"/>
          <w:sz w:val="32"/>
          <w:szCs w:val="32"/>
        </w:rPr>
        <w:t>培育新能源领域（潜在）独角兽企业10家、高新技术企业200家、科技型中小企业300家。</w:t>
      </w:r>
    </w:p>
    <w:p>
      <w:pPr>
        <w:pStyle w:val="7"/>
        <w:overflowPunct w:val="0"/>
        <w:autoSpaceDE w:val="0"/>
        <w:autoSpaceDN w:val="0"/>
        <w:adjustRightInd w:val="0"/>
        <w:snapToGrid w:val="0"/>
        <w:spacing w:after="0" w:line="570" w:lineRule="exact"/>
        <w:ind w:firstLine="641"/>
        <w:rPr>
          <w:rFonts w:eastAsia="仿宋_GB2312"/>
          <w:color w:val="000000"/>
          <w:kern w:val="32"/>
          <w:sz w:val="32"/>
          <w:szCs w:val="32"/>
        </w:rPr>
      </w:pPr>
      <w:r>
        <w:rPr>
          <w:rFonts w:ascii="黑体" w:hAnsi="黑体" w:eastAsia="黑体"/>
          <w:bCs/>
          <w:color w:val="000000"/>
          <w:kern w:val="32"/>
          <w:sz w:val="32"/>
          <w:szCs w:val="32"/>
        </w:rPr>
        <w:t>——</w:t>
      </w:r>
      <w:r>
        <w:rPr>
          <w:rFonts w:eastAsia="楷体_GB2312"/>
          <w:b/>
          <w:bCs/>
          <w:color w:val="000000"/>
          <w:kern w:val="32"/>
          <w:sz w:val="32"/>
          <w:szCs w:val="32"/>
        </w:rPr>
        <w:t>“育人才”：</w:t>
      </w:r>
      <w:r>
        <w:rPr>
          <w:rFonts w:eastAsia="仿宋_GB2312"/>
          <w:color w:val="000000"/>
          <w:kern w:val="32"/>
          <w:sz w:val="32"/>
          <w:szCs w:val="32"/>
        </w:rPr>
        <w:t>落实“龙城英才计划”新能源专项，招引战略科学家、领军型创新人才、青年科学家等高端创新人才100名以上，集聚新能源产业研发人员超25000人。</w:t>
      </w:r>
    </w:p>
    <w:p>
      <w:pPr>
        <w:overflowPunct w:val="0"/>
        <w:autoSpaceDE w:val="0"/>
        <w:autoSpaceDN w:val="0"/>
        <w:adjustRightInd w:val="0"/>
        <w:snapToGrid w:val="0"/>
        <w:spacing w:line="570" w:lineRule="exact"/>
        <w:ind w:firstLine="641"/>
        <w:rPr>
          <w:rFonts w:eastAsia="黑体"/>
          <w:sz w:val="32"/>
          <w:szCs w:val="44"/>
        </w:rPr>
      </w:pPr>
      <w:r>
        <w:rPr>
          <w:rFonts w:eastAsia="黑体"/>
          <w:sz w:val="32"/>
          <w:szCs w:val="44"/>
        </w:rPr>
        <w:t>三、重点任务</w:t>
      </w:r>
    </w:p>
    <w:p>
      <w:pPr>
        <w:overflowPunct w:val="0"/>
        <w:autoSpaceDE w:val="0"/>
        <w:autoSpaceDN w:val="0"/>
        <w:adjustRightInd w:val="0"/>
        <w:snapToGrid w:val="0"/>
        <w:spacing w:line="570" w:lineRule="exact"/>
        <w:ind w:firstLine="641"/>
        <w:rPr>
          <w:rFonts w:eastAsia="楷体_GB2312"/>
          <w:b/>
          <w:sz w:val="32"/>
          <w:szCs w:val="44"/>
        </w:rPr>
      </w:pPr>
      <w:r>
        <w:rPr>
          <w:rFonts w:eastAsia="楷体_GB2312"/>
          <w:b/>
          <w:sz w:val="32"/>
          <w:szCs w:val="44"/>
        </w:rPr>
        <w:t>（一）加快核心技术攻关</w:t>
      </w:r>
    </w:p>
    <w:p>
      <w:pPr>
        <w:pStyle w:val="7"/>
        <w:overflowPunct w:val="0"/>
        <w:autoSpaceDE w:val="0"/>
        <w:autoSpaceDN w:val="0"/>
        <w:adjustRightInd w:val="0"/>
        <w:snapToGrid w:val="0"/>
        <w:spacing w:after="0" w:line="570" w:lineRule="exact"/>
        <w:ind w:firstLine="641"/>
        <w:rPr>
          <w:rFonts w:eastAsia="仿宋_GB2312"/>
          <w:sz w:val="32"/>
          <w:szCs w:val="44"/>
        </w:rPr>
      </w:pPr>
      <w:r>
        <w:rPr>
          <w:rFonts w:eastAsia="仿宋_GB2312"/>
          <w:b/>
          <w:sz w:val="32"/>
          <w:szCs w:val="44"/>
        </w:rPr>
        <w:t>1. 实施关键技术攻关计划。</w:t>
      </w:r>
      <w:r>
        <w:rPr>
          <w:rFonts w:eastAsia="仿宋_GB2312"/>
          <w:sz w:val="32"/>
          <w:szCs w:val="44"/>
        </w:rPr>
        <w:t>围绕太阳能光伏、动力储能电池、氢能技术和智能电网等产业前瞻技术领域，聚焦太阳能电池及组件、高效能量转换的大容量储能系统、高比能正负极材料开发、车规级芯片研制、特高压换流变压器制造、动力电池梯级回收等关键共性技术，组织实施一批市科技计划项目，</w:t>
      </w:r>
      <w:r>
        <w:rPr>
          <w:rFonts w:eastAsia="仿宋_GB2312"/>
          <w:color w:val="000000"/>
          <w:kern w:val="32"/>
          <w:sz w:val="32"/>
          <w:szCs w:val="32"/>
        </w:rPr>
        <w:t>支持各类创新主体开展基础研究、攻关研发、推动科技成果产业化，推广应用示范。</w:t>
      </w:r>
      <w:r>
        <w:rPr>
          <w:rFonts w:eastAsia="仿宋_GB2312"/>
          <w:sz w:val="32"/>
          <w:szCs w:val="44"/>
        </w:rPr>
        <w:t>（</w:t>
      </w:r>
      <w:r>
        <w:rPr>
          <w:rFonts w:eastAsia="仿宋_GB2312"/>
          <w:bCs/>
          <w:color w:val="000000"/>
          <w:kern w:val="32"/>
          <w:sz w:val="32"/>
          <w:szCs w:val="32"/>
        </w:rPr>
        <w:t>责任处室：发展规划与资源配置处、科技服务业处、高新技术处、农村与社会发展科技处</w:t>
      </w:r>
      <w:r>
        <w:rPr>
          <w:rFonts w:eastAsia="仿宋_GB2312"/>
          <w:sz w:val="32"/>
          <w:szCs w:val="44"/>
        </w:rPr>
        <w:t>）</w:t>
      </w:r>
    </w:p>
    <w:tbl>
      <w:tblPr>
        <w:tblStyle w:val="2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9060" w:type="dxa"/>
            <w:vAlign w:val="center"/>
          </w:tcPr>
          <w:p>
            <w:pPr>
              <w:overflowPunct w:val="0"/>
              <w:autoSpaceDE w:val="0"/>
              <w:autoSpaceDN w:val="0"/>
              <w:adjustRightInd w:val="0"/>
              <w:snapToGrid w:val="0"/>
              <w:spacing w:line="440" w:lineRule="exact"/>
              <w:jc w:val="center"/>
              <w:rPr>
                <w:rFonts w:eastAsia="黑体"/>
                <w:sz w:val="32"/>
                <w:szCs w:val="44"/>
              </w:rPr>
            </w:pPr>
            <w:r>
              <w:rPr>
                <w:rFonts w:eastAsia="黑体"/>
                <w:sz w:val="32"/>
                <w:szCs w:val="44"/>
              </w:rPr>
              <w:t>专栏：新能源产业重点领域关键核心技术及产业化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60" w:type="dxa"/>
          </w:tcPr>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 xml:space="preserve">1. </w:t>
            </w:r>
            <w:r>
              <w:rPr>
                <w:rFonts w:eastAsia="楷体_GB2312"/>
                <w:b/>
                <w:sz w:val="32"/>
                <w:szCs w:val="44"/>
              </w:rPr>
              <w:t>太阳能光伏产业：</w:t>
            </w:r>
            <w:r>
              <w:rPr>
                <w:rFonts w:eastAsia="仿宋_GB2312"/>
                <w:sz w:val="32"/>
                <w:szCs w:val="44"/>
              </w:rPr>
              <w:t>高效光伏电池技术、新型高效大尺寸电池组件技术、高效光伏逆变器技术、高效导电银浆（银粉）技术、智能运维系统及跟踪支架技术、风光储充系统技术。</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 xml:space="preserve">2. </w:t>
            </w:r>
            <w:r>
              <w:rPr>
                <w:rFonts w:eastAsia="楷体_GB2312"/>
                <w:b/>
                <w:sz w:val="32"/>
                <w:szCs w:val="44"/>
              </w:rPr>
              <w:t>动力储能电池产业：</w:t>
            </w:r>
            <w:r>
              <w:rPr>
                <w:rFonts w:eastAsia="仿宋_GB2312"/>
                <w:sz w:val="32"/>
                <w:szCs w:val="44"/>
              </w:rPr>
              <w:t>高比能正负极材料技术、耐高温隔膜技术、耐高压阻燃电解液等关键材料技术、固态电池技术、钠离子电池技术、无钴电池等新一代电池技术、动力电池梯级回收利用技术。</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 xml:space="preserve">3. </w:t>
            </w:r>
            <w:r>
              <w:rPr>
                <w:rFonts w:eastAsia="楷体_GB2312"/>
                <w:b/>
                <w:sz w:val="32"/>
                <w:szCs w:val="44"/>
              </w:rPr>
              <w:t>新型电力装备产业</w:t>
            </w:r>
            <w:r>
              <w:rPr>
                <w:rFonts w:eastAsia="仿宋_GB2312"/>
                <w:b/>
                <w:sz w:val="32"/>
                <w:szCs w:val="44"/>
              </w:rPr>
              <w:t>：</w:t>
            </w:r>
            <w:r>
              <w:rPr>
                <w:rFonts w:eastAsia="仿宋_GB2312"/>
                <w:sz w:val="32"/>
                <w:szCs w:val="44"/>
              </w:rPr>
              <w:t>特高压设备制造技术、智能安全电网设备制造技术、绿色高效新能源装备制造技术、特种电缆制造技术、柔性输电专用装备制造技术、分布式能源系统技术。</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 xml:space="preserve">4. </w:t>
            </w:r>
            <w:r>
              <w:rPr>
                <w:rFonts w:eastAsia="楷体_GB2312"/>
                <w:b/>
                <w:sz w:val="32"/>
                <w:szCs w:val="44"/>
              </w:rPr>
              <w:t>新能源汽车及汽车核心零部件产业</w:t>
            </w:r>
            <w:r>
              <w:rPr>
                <w:rFonts w:eastAsia="仿宋_GB2312"/>
                <w:b/>
                <w:sz w:val="32"/>
                <w:szCs w:val="44"/>
              </w:rPr>
              <w:t>：</w:t>
            </w:r>
            <w:r>
              <w:rPr>
                <w:rFonts w:eastAsia="仿宋_GB2312"/>
                <w:sz w:val="32"/>
                <w:szCs w:val="44"/>
              </w:rPr>
              <w:t>高端传感器制造技术、毫米波雷达制造技术、</w:t>
            </w:r>
            <w:r>
              <w:rPr>
                <w:rFonts w:eastAsia="仿宋_GB2312"/>
                <w:color w:val="000000"/>
                <w:sz w:val="32"/>
                <w:szCs w:val="32"/>
              </w:rPr>
              <w:t>高端摄像头和智能车灯制造技术、</w:t>
            </w:r>
            <w:r>
              <w:rPr>
                <w:rFonts w:eastAsia="仿宋_GB2312"/>
                <w:sz w:val="32"/>
                <w:szCs w:val="44"/>
              </w:rPr>
              <w:t>车规级芯片技术、</w:t>
            </w:r>
            <w:r>
              <w:rPr>
                <w:rFonts w:hint="eastAsia" w:eastAsia="仿宋_GB2312"/>
                <w:sz w:val="32"/>
                <w:szCs w:val="44"/>
              </w:rPr>
              <w:t>新一代驱动电机技术、</w:t>
            </w:r>
            <w:r>
              <w:rPr>
                <w:rFonts w:eastAsia="仿宋_GB2312"/>
                <w:sz w:val="32"/>
                <w:szCs w:val="44"/>
              </w:rPr>
              <w:t>智能</w:t>
            </w:r>
            <w:r>
              <w:rPr>
                <w:rFonts w:eastAsia="仿宋_GB2312"/>
                <w:color w:val="000000" w:themeColor="text1"/>
                <w:sz w:val="32"/>
                <w:szCs w:val="32"/>
                <w14:textFill>
                  <w14:solidFill>
                    <w14:schemeClr w14:val="tx1"/>
                  </w14:solidFill>
                </w14:textFill>
              </w:rPr>
              <w:t>座舱系统技术</w:t>
            </w:r>
            <w:r>
              <w:rPr>
                <w:rFonts w:eastAsia="仿宋_GB2312"/>
                <w:sz w:val="32"/>
                <w:szCs w:val="44"/>
              </w:rPr>
              <w:t>、</w:t>
            </w:r>
            <w:r>
              <w:rPr>
                <w:rFonts w:eastAsia="仿宋_GB2312"/>
                <w:color w:val="000000"/>
                <w:sz w:val="32"/>
                <w:szCs w:val="32"/>
              </w:rPr>
              <w:t>充换电网络部署与系统技术、新一代智能路网基础设施开发技术。</w:t>
            </w:r>
          </w:p>
          <w:p>
            <w:pPr>
              <w:overflowPunct w:val="0"/>
              <w:autoSpaceDE w:val="0"/>
              <w:autoSpaceDN w:val="0"/>
              <w:adjustRightInd w:val="0"/>
              <w:snapToGrid w:val="0"/>
              <w:spacing w:line="570" w:lineRule="exact"/>
              <w:ind w:firstLine="641"/>
              <w:rPr>
                <w:rFonts w:eastAsia="黑体"/>
                <w:sz w:val="32"/>
                <w:szCs w:val="44"/>
              </w:rPr>
            </w:pPr>
            <w:r>
              <w:rPr>
                <w:rFonts w:eastAsia="仿宋_GB2312"/>
                <w:b/>
                <w:sz w:val="32"/>
                <w:szCs w:val="44"/>
              </w:rPr>
              <w:t xml:space="preserve">5. </w:t>
            </w:r>
            <w:r>
              <w:rPr>
                <w:rFonts w:eastAsia="楷体_GB2312"/>
                <w:b/>
                <w:sz w:val="32"/>
                <w:szCs w:val="44"/>
              </w:rPr>
              <w:t>氢能产业</w:t>
            </w:r>
            <w:r>
              <w:rPr>
                <w:rFonts w:eastAsia="仿宋_GB2312"/>
                <w:b/>
                <w:sz w:val="32"/>
                <w:szCs w:val="44"/>
              </w:rPr>
              <w:t>：</w:t>
            </w:r>
            <w:r>
              <w:rPr>
                <w:rFonts w:eastAsia="仿宋_GB2312"/>
                <w:sz w:val="32"/>
                <w:szCs w:val="44"/>
              </w:rPr>
              <w:t>可再生能源高效低成本制氢、固体氧化物电解水制氢、含氢化合物制氢、生物质规模化制氢与同步捕碳等氢能制取技术；高压氢气运输、低温液氢运输、掺氢天然气运输等长距离大规模氢能运输关键技术；固体材料储氢、有机载体储氢、地下储氢等安全致密储氢技术；氢冶炼、氢能热机、氢燃料电池等氢能高效利用技术。</w:t>
            </w:r>
          </w:p>
        </w:tc>
      </w:tr>
    </w:tbl>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2. 探索新型研发组织形式。</w:t>
      </w:r>
      <w:r>
        <w:rPr>
          <w:rFonts w:eastAsia="仿宋_GB2312"/>
          <w:sz w:val="32"/>
          <w:szCs w:val="44"/>
        </w:rPr>
        <w:t>支持龙头骨干企业牵头组建创新联合体，联合国内外高等院校、科研院所、产业链上下游科技型企业，瞄准产业前沿、细分领域和市场需求，开展攻关研发。聚焦行业“卡脖子”问题，整合多方创新要素和资源，深化“揭榜挂帅”科技攻关，组织实施国内外“揭榜挂帅”项目30项以上，推动各类创新主体发挥自身优势，促进产学研用深度融合。（责任处室：产学研合作处）</w:t>
      </w:r>
    </w:p>
    <w:p>
      <w:pPr>
        <w:overflowPunct w:val="0"/>
        <w:autoSpaceDE w:val="0"/>
        <w:autoSpaceDN w:val="0"/>
        <w:adjustRightInd w:val="0"/>
        <w:snapToGrid w:val="0"/>
        <w:spacing w:line="570" w:lineRule="exact"/>
        <w:ind w:firstLine="641"/>
        <w:rPr>
          <w:rFonts w:eastAsia="楷体_GB2312"/>
          <w:b/>
          <w:sz w:val="32"/>
          <w:szCs w:val="44"/>
        </w:rPr>
      </w:pPr>
      <w:r>
        <w:rPr>
          <w:rFonts w:eastAsia="楷体_GB2312"/>
          <w:b/>
          <w:sz w:val="32"/>
          <w:szCs w:val="44"/>
        </w:rPr>
        <w:t>（二）大力建设创新平台</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1. 建设重大创新平台。</w:t>
      </w:r>
      <w:r>
        <w:rPr>
          <w:rFonts w:eastAsia="仿宋_GB2312"/>
          <w:sz w:val="32"/>
          <w:szCs w:val="44"/>
        </w:rPr>
        <w:t>加快建设智能制造龙城实验室，围绕新能源领域专用加工装备与智能制造监测系统、半导体晶圆先进加工装备、功率器件制造装备等方向，力争产出一批标志性、引领性的原创科技成果，在基础研究和前沿技术领域的探索方面取得新突破；支持光伏科学与技术国家重点实验室建设，重点面向晶硅高效电池技术、晶硅叠层高效电池技术、多结高效电池技术等方向开展研究；围绕能源获取与转化、能源存储、能源高效利用等方向，推进清洁能源材料技术创新中心建设。争创清洁能源材料国家技术创新中心等2-3个国家级创新平台。（责任处室：产学研合作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2. 引建新型研发机构。</w:t>
      </w:r>
      <w:r>
        <w:rPr>
          <w:rFonts w:eastAsia="仿宋_GB2312"/>
          <w:kern w:val="0"/>
          <w:sz w:val="32"/>
          <w:szCs w:val="32"/>
        </w:rPr>
        <w:t>支持由中央直属企业、国内行业龙头企业、知名高校院所等与地方政府共建，以诺奖获得者、院士等知名专家及其团队为核心的新能源领域新型研发机构建设。</w:t>
      </w:r>
      <w:r>
        <w:rPr>
          <w:rFonts w:eastAsia="仿宋_GB2312"/>
          <w:sz w:val="32"/>
          <w:szCs w:val="44"/>
        </w:rPr>
        <w:t>加快提升长三角物理研究中心、天目湖先进储能技术研究院、中创新航技术研究院、江苏集萃安泰创明先进能源材料研究院、江苏中科智能科学技术应用研究院、机械科学研究总院江苏分院、中汽研（常州）汽车工程研究院等新能源领域重点新型研发机构建设水平，增强创新体系整体效能，形成有重点、有培育、有潜力的梯队体系。（责任处室：产学研合作处）</w:t>
      </w:r>
    </w:p>
    <w:p>
      <w:pPr>
        <w:overflowPunct w:val="0"/>
        <w:autoSpaceDE w:val="0"/>
        <w:autoSpaceDN w:val="0"/>
        <w:adjustRightInd w:val="0"/>
        <w:snapToGrid w:val="0"/>
        <w:spacing w:line="570" w:lineRule="exact"/>
        <w:ind w:firstLine="641"/>
        <w:rPr>
          <w:rFonts w:eastAsia="仿宋_GB2312"/>
          <w:sz w:val="32"/>
          <w:szCs w:val="44"/>
          <w:u w:val="single"/>
        </w:rPr>
      </w:pPr>
      <w:r>
        <w:rPr>
          <w:rFonts w:eastAsia="仿宋_GB2312"/>
          <w:b/>
          <w:sz w:val="32"/>
          <w:szCs w:val="44"/>
        </w:rPr>
        <w:t>3. 提升公共服务平台。</w:t>
      </w:r>
      <w:r>
        <w:rPr>
          <w:rFonts w:eastAsia="仿宋_GB2312"/>
          <w:sz w:val="32"/>
          <w:szCs w:val="44"/>
        </w:rPr>
        <w:t>面向常州新能源产业创新发展需求，建设研发设计、加工试制、检验检测等公共服务平台，筹建新能源产业技术创新联盟，健全产业公共技术服务功能。围绕新能源汽车整车及零部件、动力电池、储能系统、光伏材料、充电桩设施等方向，推进中汽研汽车检验中心（常州）有限公司、南德新能源汽车检测（江苏）有限公司、国创未来检测技术（江苏）有限公司、国家氢能装备产品质量监督检验中心等一批新能源产业领域的公共服务平台提升服务支撑水平，加强检验检测与认证体系建设。（责任处室：产学研合作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4. 培育企业研发机构。</w:t>
      </w:r>
      <w:r>
        <w:rPr>
          <w:rFonts w:eastAsia="仿宋_GB2312"/>
          <w:sz w:val="32"/>
          <w:szCs w:val="44"/>
        </w:rPr>
        <w:t>推进新能源企业研发机构建设，加强动态管理，促进高质量发展。推动企业加强研发体系建设，服务新能源企业建立研发组织规范、资源配置合理、持续有效运行的企业研发管理体系，提升企业研发机构建设水平。摸排新能源领域行业龙头骨干企业技术需求，积极对接省产研院全球创新资源，共建联合创新中心。</w:t>
      </w:r>
      <w:r>
        <w:rPr>
          <w:rFonts w:eastAsia="仿宋_GB2312"/>
          <w:kern w:val="0"/>
          <w:sz w:val="32"/>
          <w:szCs w:val="32"/>
        </w:rPr>
        <w:t>支持由院士等知名专家领衔的研发机构建设，重点支持新能源领域企业建设院士工作站。</w:t>
      </w:r>
      <w:r>
        <w:rPr>
          <w:rFonts w:eastAsia="仿宋_GB2312"/>
          <w:sz w:val="32"/>
          <w:szCs w:val="44"/>
        </w:rPr>
        <w:t>支持理想汽车、中创新航、蜂巢能源等龙头骨干企业建设省级以上企业科创研发载体平台，集聚高端人才，开展（应用）基础研究，推进成果转化。（责任处室：产学研合作处）</w:t>
      </w:r>
    </w:p>
    <w:p>
      <w:pPr>
        <w:overflowPunct w:val="0"/>
        <w:autoSpaceDE w:val="0"/>
        <w:autoSpaceDN w:val="0"/>
        <w:adjustRightInd w:val="0"/>
        <w:snapToGrid w:val="0"/>
        <w:spacing w:line="570" w:lineRule="exact"/>
        <w:ind w:firstLine="641"/>
        <w:rPr>
          <w:rFonts w:eastAsia="楷体_GB2312"/>
          <w:b/>
          <w:sz w:val="32"/>
          <w:szCs w:val="44"/>
        </w:rPr>
      </w:pPr>
      <w:r>
        <w:rPr>
          <w:rFonts w:eastAsia="楷体_GB2312"/>
          <w:b/>
          <w:sz w:val="32"/>
          <w:szCs w:val="44"/>
        </w:rPr>
        <w:t>（三）着力培育创新主体</w:t>
      </w:r>
    </w:p>
    <w:p>
      <w:pPr>
        <w:tabs>
          <w:tab w:val="left" w:pos="3969"/>
        </w:tabs>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1. 持续扩大创新主体规模。</w:t>
      </w:r>
      <w:r>
        <w:rPr>
          <w:rFonts w:eastAsia="仿宋_GB2312"/>
          <w:sz w:val="32"/>
          <w:szCs w:val="44"/>
        </w:rPr>
        <w:t>瞄准新能源产业重点技术领域与潜在发展方向，争取承办国家、省级双创大赛行业赛、专项赛，推动新能源产业领域的优质人才团队、创业项目、科技企业加速集聚。</w:t>
      </w:r>
      <w:r>
        <w:rPr>
          <w:rFonts w:eastAsia="仿宋_GB2312"/>
          <w:sz w:val="32"/>
          <w:szCs w:val="32"/>
        </w:rPr>
        <w:t>鼓励各辖市区继续完善相关激励政策与支持措施，面向新能源产业领域大力实施“双招双引”，进一步做大科创项目“蓄水池”，广泛</w:t>
      </w:r>
      <w:r>
        <w:rPr>
          <w:rFonts w:eastAsia="仿宋_GB2312"/>
          <w:sz w:val="32"/>
          <w:szCs w:val="44"/>
        </w:rPr>
        <w:t>引导</w:t>
      </w:r>
      <w:r>
        <w:rPr>
          <w:rFonts w:eastAsia="仿宋_GB2312"/>
          <w:sz w:val="32"/>
          <w:szCs w:val="32"/>
        </w:rPr>
        <w:t>初创企业</w:t>
      </w:r>
      <w:r>
        <w:rPr>
          <w:rFonts w:eastAsia="仿宋_GB2312"/>
          <w:sz w:val="32"/>
          <w:szCs w:val="44"/>
        </w:rPr>
        <w:t>参加科技型中小企业评价。建立高企培育工作挂钩联系制度，高质量推进高企培育和服务，加速壮大以科技型中小企业、高新技术企业、瞪羚企业为主体的创新型企业集群。（责任处室：高新技术处）</w:t>
      </w:r>
    </w:p>
    <w:p>
      <w:pPr>
        <w:overflowPunct w:val="0"/>
        <w:autoSpaceDE w:val="0"/>
        <w:autoSpaceDN w:val="0"/>
        <w:adjustRightInd w:val="0"/>
        <w:snapToGrid w:val="0"/>
        <w:spacing w:line="570" w:lineRule="exact"/>
        <w:ind w:firstLine="641"/>
        <w:rPr>
          <w:rFonts w:eastAsia="仿宋_GB2312"/>
          <w:sz w:val="32"/>
          <w:szCs w:val="32"/>
        </w:rPr>
      </w:pPr>
      <w:r>
        <w:rPr>
          <w:rFonts w:eastAsia="仿宋_GB2312"/>
          <w:b/>
          <w:sz w:val="32"/>
          <w:szCs w:val="44"/>
        </w:rPr>
        <w:t>2. 加速导入创新资源要素。</w:t>
      </w:r>
      <w:r>
        <w:rPr>
          <w:rFonts w:eastAsia="仿宋_GB2312"/>
          <w:bCs/>
          <w:sz w:val="32"/>
          <w:szCs w:val="44"/>
        </w:rPr>
        <w:t>持续开展“科技长征”，</w:t>
      </w:r>
      <w:r>
        <w:rPr>
          <w:rFonts w:eastAsia="仿宋_GB2312"/>
          <w:sz w:val="32"/>
          <w:szCs w:val="32"/>
        </w:rPr>
        <w:t>积极参与“名城名校合作行、创新创业赢未来”等活动，组织专题对接，挖掘一批新能源领域重大创新合作需求，推动产教融合。发挥创投机构的资本引领作用，引导各类资本向新能源产业领域“投早投小投硬科技”。鼓励头部创业投资机构、新型研发机构、科技园区、孵化器等发起或参股设立新能源产业领域创业投资基金，加大对高成长性科技企业的扶持。</w:t>
      </w:r>
      <w:r>
        <w:rPr>
          <w:rFonts w:eastAsia="仿宋_GB2312"/>
          <w:sz w:val="32"/>
          <w:szCs w:val="44"/>
        </w:rPr>
        <w:t>（责任处室：创新发展处、产学研合作处、对外合作与人才处、高新技术处）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3. 加快培育创新企业标杆。</w:t>
      </w:r>
      <w:r>
        <w:rPr>
          <w:rFonts w:eastAsia="仿宋_GB2312"/>
          <w:sz w:val="32"/>
          <w:szCs w:val="44"/>
        </w:rPr>
        <w:t>依托新能源产业优势，</w:t>
      </w:r>
      <w:r>
        <w:rPr>
          <w:rFonts w:eastAsia="仿宋_GB2312"/>
          <w:kern w:val="0"/>
          <w:sz w:val="32"/>
          <w:szCs w:val="32"/>
        </w:rPr>
        <w:t>实施</w:t>
      </w:r>
      <w:r>
        <w:rPr>
          <w:rFonts w:eastAsia="仿宋_GB2312"/>
          <w:sz w:val="32"/>
          <w:szCs w:val="32"/>
        </w:rPr>
        <w:t>（潜在）独角兽倍增计划，精心培育一批集成创新能力强、核心竞争优势明显的（潜在）独角兽企业。组织市级瞪羚企业认定，挖掘、发现、锁定一批新能源领域的潜力科技企业，为扩大（潜在）独角兽企业梯队储备力量。支持创新型领军企业延伸产业链，延展创新链，助力打造具备较强技术集成能力、国际竞争实力的企业集团。</w:t>
      </w:r>
      <w:r>
        <w:rPr>
          <w:rFonts w:eastAsia="仿宋_GB2312"/>
          <w:sz w:val="32"/>
          <w:szCs w:val="44"/>
        </w:rPr>
        <w:t>（责任处室：创新发展处、高新技术处、科技评估与诚信建设处、对外合作与人才处、</w:t>
      </w:r>
      <w:r>
        <w:rPr>
          <w:rFonts w:eastAsia="仿宋_GB2312"/>
          <w:bCs/>
          <w:color w:val="000000"/>
          <w:kern w:val="32"/>
          <w:sz w:val="32"/>
          <w:szCs w:val="32"/>
        </w:rPr>
        <w:t>发展规划与资源配置处</w:t>
      </w:r>
      <w:r>
        <w:rPr>
          <w:rFonts w:eastAsia="仿宋_GB2312"/>
          <w:sz w:val="32"/>
          <w:szCs w:val="44"/>
        </w:rPr>
        <w:t>）</w:t>
      </w:r>
    </w:p>
    <w:p>
      <w:pPr>
        <w:overflowPunct w:val="0"/>
        <w:autoSpaceDE w:val="0"/>
        <w:autoSpaceDN w:val="0"/>
        <w:adjustRightInd w:val="0"/>
        <w:snapToGrid w:val="0"/>
        <w:spacing w:line="570" w:lineRule="exact"/>
        <w:ind w:firstLine="641"/>
        <w:rPr>
          <w:rFonts w:eastAsia="楷体_GB2312"/>
          <w:b/>
          <w:sz w:val="32"/>
          <w:szCs w:val="44"/>
        </w:rPr>
      </w:pPr>
      <w:r>
        <w:rPr>
          <w:rFonts w:eastAsia="楷体_GB2312"/>
          <w:b/>
          <w:sz w:val="32"/>
          <w:szCs w:val="44"/>
        </w:rPr>
        <w:t>（四）加速集聚创新人才</w:t>
      </w:r>
    </w:p>
    <w:p>
      <w:pPr>
        <w:overflowPunct w:val="0"/>
        <w:autoSpaceDE w:val="0"/>
        <w:autoSpaceDN w:val="0"/>
        <w:adjustRightInd w:val="0"/>
        <w:snapToGrid w:val="0"/>
        <w:spacing w:line="570" w:lineRule="exact"/>
        <w:ind w:firstLine="641"/>
        <w:rPr>
          <w:rFonts w:eastAsia="仿宋_GB2312"/>
          <w:sz w:val="32"/>
          <w:szCs w:val="44"/>
          <w:shd w:val="pct10" w:color="auto" w:fill="FFFFFF"/>
        </w:rPr>
      </w:pPr>
      <w:r>
        <w:rPr>
          <w:rFonts w:eastAsia="仿宋_GB2312"/>
          <w:b/>
          <w:sz w:val="32"/>
          <w:szCs w:val="44"/>
        </w:rPr>
        <w:t>1. 以国际创新合作引进人才。</w:t>
      </w:r>
      <w:r>
        <w:rPr>
          <w:rFonts w:eastAsia="仿宋_GB2312"/>
          <w:sz w:val="32"/>
          <w:szCs w:val="44"/>
        </w:rPr>
        <w:t>实施海外智力引进计划，瞄准重大原创性基础前沿和关键核心技术问题，吸引一批新能源领域的科技人才来常创新创业。组织“科技外交官”常州行、双边及多边项目推介会等线上线下国际科技交流活动，面向海内外创新人才展现创新高度、推介政策力度、传导环境热度，拓展海外引才渠道。（责任处室：对外合作与人才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2. 以科创平台建设集聚人才。</w:t>
      </w:r>
      <w:r>
        <w:rPr>
          <w:rFonts w:eastAsia="仿宋_GB2312"/>
          <w:sz w:val="32"/>
          <w:szCs w:val="44"/>
        </w:rPr>
        <w:t>发挥智能制造龙城实验室、光伏科学与技术国家重点实验室等重大创新平台引领作用，集聚一批新能源领域的战略科学家、青年科学家、科技领军人才。鼓励我市新能源领域企业以并购或新建等方式设立离岸孵化器、离岸创新中心，助力企业引才聚才用才。（责任处室：对外合作与人才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3. 以重大科创任务培养人才。</w:t>
      </w:r>
      <w:r>
        <w:rPr>
          <w:rFonts w:eastAsia="仿宋_GB2312"/>
          <w:sz w:val="32"/>
          <w:szCs w:val="44"/>
        </w:rPr>
        <w:t>采用组建人才攻关联合体等方式，积极探索项目经理等机制创新，围绕新能源产业关键技术领域组织项目攻关，推动培育一批行业领军科技人才。增设青年博士开放创新课题专项，每年立项支持30名以上青年博士开展基础研究工作。鼓励在常高校院所通过多方合作与跨学科融合，开展前瞻性应用基础项目研发。（责任处室：对外合作与人才处、农村和社会发展科技处、发展规划与资源配置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bCs/>
          <w:sz w:val="32"/>
          <w:szCs w:val="44"/>
        </w:rPr>
        <w:t>4. 以科创“优+”计划服务人才。</w:t>
      </w:r>
      <w:r>
        <w:rPr>
          <w:rFonts w:eastAsia="仿宋_GB2312"/>
          <w:sz w:val="32"/>
          <w:szCs w:val="44"/>
        </w:rPr>
        <w:t>深化科创服务“优+”计划，聚焦新能源产业，联动重大创新平台，组织“创新常州”公开课、科创训练营，邀请国内外知名专家学者、创业大咖公开授课，为青年人才分析新能源新赛道、分享创业经验、传授创业方法，导入科创导师和专业服务资源，构建青年创客在常创新创业的朋友圈、生态圈。（责任处室：创新发展处）</w:t>
      </w:r>
    </w:p>
    <w:p>
      <w:pPr>
        <w:overflowPunct w:val="0"/>
        <w:autoSpaceDE w:val="0"/>
        <w:autoSpaceDN w:val="0"/>
        <w:adjustRightInd w:val="0"/>
        <w:snapToGrid w:val="0"/>
        <w:spacing w:line="570" w:lineRule="exact"/>
        <w:ind w:firstLine="641"/>
        <w:rPr>
          <w:rFonts w:eastAsia="楷体_GB2312"/>
          <w:b/>
          <w:sz w:val="32"/>
          <w:szCs w:val="44"/>
        </w:rPr>
      </w:pPr>
      <w:r>
        <w:rPr>
          <w:rFonts w:eastAsia="楷体_GB2312"/>
          <w:b/>
          <w:sz w:val="32"/>
          <w:szCs w:val="44"/>
        </w:rPr>
        <w:t>（五）全面优化创新生态</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1. 加强对外国际科技合作。</w:t>
      </w:r>
      <w:r>
        <w:rPr>
          <w:rFonts w:eastAsia="仿宋_GB2312"/>
          <w:sz w:val="32"/>
          <w:szCs w:val="44"/>
        </w:rPr>
        <w:t>以“一区一名片”建设为契机，拓展新能源领域的国际科技合作渠道。依托中以常州创新园、中德创新产业园、中日（常州）智能制造产业园等国际合作园区，促进创新国际化与产业国际化的协同发展。鼓励我市新能源企业赴欧美等发达国家和地区设立海外研发机构，直接吸纳世界一流研发人才和技术，促进国际技术转移。重点面向以色列、德国、日本等创新型国家和地区，围绕新能源产业关键共性技术研发，实施一批重点国际科技合作项目，助力核心技术攻关。（责任处室：对外合作与人才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2. 提升科创载体建设水平。</w:t>
      </w:r>
      <w:r>
        <w:rPr>
          <w:rFonts w:eastAsia="仿宋_GB2312"/>
          <w:sz w:val="32"/>
          <w:szCs w:val="44"/>
        </w:rPr>
        <w:t>引导各辖市区按照产业重点发展方向，以特色彰显、优势互补为工作导向，围绕“六度创新空间”要求打造专业化科创综合体、人才综合体，重点支持常州清洁能源材料科创综合体等提升建设水平，形成品牌示范效应，高效衔接“双招双引”工作，带动区域双创生态品质提升。加快建设一批新能源与节能领域的专业化科技企业孵化器、加速器与众创空间，紧扣提档升级与绩效评价，加速优化科创载体布局，完善区域创业服务体系，提升项目孵育能力与企业孵化效率。（责任处室：高新技术处）</w:t>
      </w:r>
    </w:p>
    <w:p>
      <w:pPr>
        <w:overflowPunct w:val="0"/>
        <w:autoSpaceDE w:val="0"/>
        <w:autoSpaceDN w:val="0"/>
        <w:adjustRightInd w:val="0"/>
        <w:snapToGrid w:val="0"/>
        <w:spacing w:line="570" w:lineRule="exact"/>
        <w:ind w:firstLine="641"/>
        <w:rPr>
          <w:rFonts w:eastAsia="仿宋_GB2312"/>
          <w:sz w:val="32"/>
          <w:szCs w:val="44"/>
        </w:rPr>
      </w:pPr>
      <w:r>
        <w:rPr>
          <w:rFonts w:eastAsia="仿宋_GB2312"/>
          <w:b/>
          <w:sz w:val="32"/>
          <w:szCs w:val="44"/>
        </w:rPr>
        <w:t>3. 推进知识产权转化运用。</w:t>
      </w:r>
      <w:r>
        <w:rPr>
          <w:rFonts w:eastAsia="仿宋_GB2312"/>
          <w:sz w:val="32"/>
          <w:szCs w:val="44"/>
        </w:rPr>
        <w:t>鼓励企业进一步完善自主创新机制，瞄准新能源产业技术前沿领域，加</w:t>
      </w:r>
      <w:r>
        <w:rPr>
          <w:rFonts w:hint="eastAsia" w:eastAsia="仿宋_GB2312"/>
          <w:sz w:val="32"/>
          <w:szCs w:val="44"/>
        </w:rPr>
        <w:t>大</w:t>
      </w:r>
      <w:r>
        <w:rPr>
          <w:rFonts w:eastAsia="仿宋_GB2312"/>
          <w:sz w:val="32"/>
          <w:szCs w:val="44"/>
        </w:rPr>
        <w:t>研发创新投入，持续推进高质量专利布局，加速专利转化运用。充分发挥常州市知识产权保护中心在新能源产业领域专利预审服务的作用，不断提升工作水平，更好地服务产业、支撑产业发展。（责任处室：高新技术处）</w:t>
      </w:r>
    </w:p>
    <w:p>
      <w:pPr>
        <w:overflowPunct w:val="0"/>
        <w:autoSpaceDE w:val="0"/>
        <w:autoSpaceDN w:val="0"/>
        <w:adjustRightInd w:val="0"/>
        <w:snapToGrid w:val="0"/>
        <w:spacing w:line="570" w:lineRule="exact"/>
        <w:ind w:firstLine="641"/>
        <w:rPr>
          <w:rFonts w:eastAsia="仿宋_GB2312"/>
          <w:sz w:val="32"/>
          <w:szCs w:val="44"/>
          <w:u w:val="single"/>
        </w:rPr>
      </w:pPr>
      <w:r>
        <w:rPr>
          <w:rFonts w:eastAsia="仿宋_GB2312"/>
          <w:b/>
          <w:sz w:val="32"/>
          <w:szCs w:val="44"/>
        </w:rPr>
        <w:t>4. 强化创新政策支撑效能。</w:t>
      </w:r>
      <w:r>
        <w:rPr>
          <w:rFonts w:eastAsia="仿宋_GB2312"/>
          <w:sz w:val="32"/>
          <w:szCs w:val="32"/>
        </w:rPr>
        <w:t>落实《常州市新能源之都建设政策措施》、“创新政策20条”，</w:t>
      </w:r>
      <w:r>
        <w:rPr>
          <w:rFonts w:eastAsia="仿宋_GB2312"/>
          <w:sz w:val="32"/>
          <w:szCs w:val="44"/>
        </w:rPr>
        <w:t>对新能源</w:t>
      </w:r>
      <w:r>
        <w:rPr>
          <w:rFonts w:hint="eastAsia" w:eastAsia="仿宋_GB2312"/>
          <w:sz w:val="32"/>
          <w:szCs w:val="44"/>
        </w:rPr>
        <w:t>领域</w:t>
      </w:r>
      <w:r>
        <w:rPr>
          <w:rFonts w:eastAsia="仿宋_GB2312"/>
          <w:sz w:val="32"/>
          <w:szCs w:val="44"/>
        </w:rPr>
        <w:t>建立</w:t>
      </w:r>
      <w:r>
        <w:rPr>
          <w:rFonts w:hint="eastAsia" w:eastAsia="仿宋_GB2312"/>
          <w:sz w:val="32"/>
          <w:szCs w:val="44"/>
        </w:rPr>
        <w:t>的</w:t>
      </w:r>
      <w:r>
        <w:rPr>
          <w:rFonts w:eastAsia="仿宋_GB2312"/>
          <w:sz w:val="32"/>
          <w:szCs w:val="44"/>
        </w:rPr>
        <w:t>新型研发机构、院士工作站给予奖励，对首次认定为独角兽、潜在独角兽的企业给予奖励并在创新政策中给予叠加支持，根据企业加大研发投入情况给予分档奖励。积极推动创新政策“快享直达”，提升资金使用效率，高效便捷解决企业创新顾虑，持续激发企业创新热情。（责任处室：创新发展处）</w:t>
      </w:r>
    </w:p>
    <w:p>
      <w:pPr>
        <w:overflowPunct w:val="0"/>
        <w:autoSpaceDE w:val="0"/>
        <w:autoSpaceDN w:val="0"/>
        <w:adjustRightInd w:val="0"/>
        <w:snapToGrid w:val="0"/>
        <w:spacing w:line="570" w:lineRule="exact"/>
        <w:ind w:firstLine="641"/>
        <w:rPr>
          <w:rFonts w:eastAsia="黑体"/>
          <w:sz w:val="32"/>
          <w:szCs w:val="44"/>
        </w:rPr>
      </w:pPr>
      <w:r>
        <w:rPr>
          <w:rFonts w:eastAsia="黑体"/>
          <w:sz w:val="32"/>
          <w:szCs w:val="44"/>
        </w:rPr>
        <w:t>四、保障措施</w:t>
      </w:r>
    </w:p>
    <w:p>
      <w:pPr>
        <w:pStyle w:val="40"/>
        <w:tabs>
          <w:tab w:val="left" w:pos="1596"/>
        </w:tabs>
        <w:overflowPunct w:val="0"/>
        <w:adjustRightInd w:val="0"/>
        <w:spacing w:line="570" w:lineRule="exact"/>
        <w:ind w:firstLine="641"/>
        <w:rPr>
          <w:rFonts w:eastAsia="楷体_GB2312"/>
          <w:b/>
          <w:bCs/>
          <w:color w:val="000000"/>
          <w:kern w:val="32"/>
          <w:szCs w:val="32"/>
        </w:rPr>
      </w:pPr>
      <w:r>
        <w:rPr>
          <w:rFonts w:eastAsia="楷体_GB2312"/>
          <w:b/>
          <w:bCs/>
          <w:color w:val="000000"/>
          <w:kern w:val="32"/>
          <w:szCs w:val="32"/>
        </w:rPr>
        <w:t>（一）加强组织领导</w:t>
      </w:r>
    </w:p>
    <w:p>
      <w:pPr>
        <w:pStyle w:val="16"/>
        <w:widowControl w:val="0"/>
        <w:shd w:val="clear" w:color="auto" w:fill="FFFFFF"/>
        <w:overflowPunct w:val="0"/>
        <w:autoSpaceDE w:val="0"/>
        <w:autoSpaceDN w:val="0"/>
        <w:adjustRightInd w:val="0"/>
        <w:snapToGrid w:val="0"/>
        <w:spacing w:line="570" w:lineRule="exact"/>
        <w:ind w:firstLine="641"/>
        <w:jc w:val="both"/>
        <w:rPr>
          <w:rFonts w:ascii="Times New Roman" w:eastAsia="仿宋_GB2312" w:cs="Times New Roman"/>
          <w:color w:val="000000"/>
          <w:kern w:val="32"/>
          <w:sz w:val="32"/>
          <w:szCs w:val="32"/>
        </w:rPr>
      </w:pPr>
      <w:r>
        <w:rPr>
          <w:rFonts w:ascii="Times New Roman" w:eastAsia="仿宋_GB2312" w:cs="Times New Roman"/>
          <w:color w:val="000000"/>
          <w:kern w:val="32"/>
          <w:sz w:val="32"/>
          <w:szCs w:val="32"/>
        </w:rPr>
        <w:t>成立常州市科技局“科技创新助</w:t>
      </w:r>
      <w:r>
        <w:rPr>
          <w:rFonts w:hint="eastAsia" w:ascii="Times New Roman" w:eastAsia="仿宋_GB2312" w:cs="Times New Roman"/>
          <w:color w:val="000000"/>
          <w:kern w:val="32"/>
          <w:sz w:val="32"/>
          <w:szCs w:val="32"/>
          <w:lang w:val="en-US" w:eastAsia="zh-CN"/>
        </w:rPr>
        <w:t>力</w:t>
      </w:r>
      <w:r>
        <w:rPr>
          <w:rFonts w:ascii="Times New Roman" w:eastAsia="仿宋_GB2312" w:cs="Times New Roman"/>
          <w:color w:val="000000"/>
          <w:kern w:val="32"/>
          <w:sz w:val="32"/>
          <w:szCs w:val="32"/>
        </w:rPr>
        <w:t>新能源之都建设”工作专班，由局主要负责人担任组长，专班具体工作由高新技术处牵头，创新发展处、产学研合作处、对外合作与人才处等处室配合。其他处室结合各自处室职责分工积极配合完成工作专班各项任务。</w:t>
      </w:r>
    </w:p>
    <w:p>
      <w:pPr>
        <w:pStyle w:val="40"/>
        <w:tabs>
          <w:tab w:val="left" w:pos="1596"/>
        </w:tabs>
        <w:overflowPunct w:val="0"/>
        <w:adjustRightInd w:val="0"/>
        <w:spacing w:line="570" w:lineRule="exact"/>
        <w:ind w:firstLine="641"/>
        <w:rPr>
          <w:rFonts w:eastAsia="楷体_GB2312"/>
          <w:b/>
          <w:bCs/>
          <w:color w:val="000000"/>
          <w:kern w:val="32"/>
          <w:szCs w:val="32"/>
        </w:rPr>
      </w:pPr>
      <w:r>
        <w:rPr>
          <w:rFonts w:eastAsia="楷体_GB2312"/>
          <w:b/>
          <w:bCs/>
          <w:color w:val="000000"/>
          <w:kern w:val="32"/>
          <w:szCs w:val="32"/>
        </w:rPr>
        <w:t>（二）强化政策保障</w:t>
      </w:r>
    </w:p>
    <w:p>
      <w:pPr>
        <w:pStyle w:val="40"/>
        <w:tabs>
          <w:tab w:val="left" w:pos="1596"/>
        </w:tabs>
        <w:overflowPunct w:val="0"/>
        <w:adjustRightInd w:val="0"/>
        <w:spacing w:line="570" w:lineRule="exact"/>
        <w:ind w:firstLine="641"/>
        <w:rPr>
          <w:rFonts w:eastAsia="楷体_GB2312"/>
          <w:bCs/>
          <w:color w:val="000000"/>
          <w:kern w:val="32"/>
          <w:szCs w:val="32"/>
        </w:rPr>
      </w:pPr>
      <w:r>
        <w:rPr>
          <w:rFonts w:eastAsia="仿宋_GB2312"/>
          <w:snapToGrid/>
          <w:color w:val="000000"/>
          <w:kern w:val="32"/>
          <w:szCs w:val="32"/>
        </w:rPr>
        <w:t>积极争取国家和省相关政策资金，进一步强化市级科技计划项目对相关技术领域的支持力度，实施应用基础研究、核心技术攻关和技术成果转化计划。在新能源领域创新主体培育、人才队伍打造、创新平台搭建等方面给予政策支持，打造良好服务生态。加快推进《常州市科技创新促进条例》立法，鼓励科技企业加强基础研究、攻克关键技术、设置特殊股权结构、激发科研人员活力，依法维护企业创新发展权益。</w:t>
      </w:r>
    </w:p>
    <w:p>
      <w:pPr>
        <w:pStyle w:val="40"/>
        <w:tabs>
          <w:tab w:val="left" w:pos="1596"/>
        </w:tabs>
        <w:overflowPunct w:val="0"/>
        <w:adjustRightInd w:val="0"/>
        <w:spacing w:line="570" w:lineRule="exact"/>
        <w:ind w:firstLine="641"/>
        <w:rPr>
          <w:rFonts w:eastAsia="楷体_GB2312"/>
          <w:b/>
          <w:bCs/>
          <w:color w:val="000000"/>
          <w:kern w:val="32"/>
          <w:szCs w:val="32"/>
        </w:rPr>
      </w:pPr>
      <w:r>
        <w:rPr>
          <w:rFonts w:eastAsia="楷体_GB2312"/>
          <w:b/>
          <w:bCs/>
          <w:color w:val="000000"/>
          <w:kern w:val="32"/>
          <w:szCs w:val="32"/>
        </w:rPr>
        <w:t>（三）抓好跟踪落实</w:t>
      </w:r>
    </w:p>
    <w:p>
      <w:pPr>
        <w:pStyle w:val="40"/>
        <w:tabs>
          <w:tab w:val="left" w:pos="1596"/>
        </w:tabs>
        <w:overflowPunct w:val="0"/>
        <w:adjustRightInd w:val="0"/>
        <w:spacing w:line="570" w:lineRule="exact"/>
        <w:ind w:firstLine="641"/>
        <w:rPr>
          <w:rFonts w:eastAsia="仿宋_GB2312"/>
          <w:color w:val="000000"/>
          <w:kern w:val="32"/>
          <w:szCs w:val="32"/>
        </w:rPr>
      </w:pPr>
      <w:r>
        <w:rPr>
          <w:rFonts w:eastAsia="仿宋_GB2312"/>
          <w:color w:val="000000"/>
          <w:kern w:val="32"/>
          <w:szCs w:val="32"/>
        </w:rPr>
        <w:t>各辖市、区科技主管部门要建立相应的协调机制，在规划引导、资金投入、要素配置等方面统筹推进产业培育。要及时跟进行动进度，加强协调配合，创新工作方法，加快工作推进，确保各项工作举措落细、任务落实。</w:t>
      </w:r>
    </w:p>
    <w:p>
      <w:pPr>
        <w:pStyle w:val="40"/>
        <w:tabs>
          <w:tab w:val="left" w:pos="1596"/>
        </w:tabs>
        <w:overflowPunct w:val="0"/>
        <w:adjustRightInd w:val="0"/>
        <w:spacing w:line="570" w:lineRule="exact"/>
        <w:ind w:firstLine="641"/>
        <w:rPr>
          <w:rFonts w:eastAsia="仿宋_GB2312"/>
          <w:color w:val="000000"/>
          <w:kern w:val="32"/>
          <w:szCs w:val="32"/>
        </w:rPr>
      </w:pPr>
    </w:p>
    <w:p>
      <w:pPr>
        <w:pStyle w:val="40"/>
        <w:tabs>
          <w:tab w:val="left" w:pos="1596"/>
        </w:tabs>
        <w:overflowPunct w:val="0"/>
        <w:adjustRightInd w:val="0"/>
        <w:spacing w:line="570" w:lineRule="exact"/>
        <w:ind w:firstLine="641"/>
        <w:rPr>
          <w:rFonts w:eastAsia="仿宋_GB2312"/>
          <w:color w:val="000000"/>
          <w:kern w:val="32"/>
          <w:szCs w:val="32"/>
        </w:rPr>
      </w:pPr>
      <w:r>
        <w:rPr>
          <w:rFonts w:hint="eastAsia" w:eastAsia="仿宋_GB2312"/>
          <w:color w:val="000000"/>
          <w:kern w:val="32"/>
          <w:szCs w:val="32"/>
        </w:rPr>
        <w:t>附件：1. “科技创新助</w:t>
      </w:r>
      <w:r>
        <w:rPr>
          <w:rFonts w:hint="eastAsia" w:eastAsia="仿宋_GB2312"/>
          <w:color w:val="000000"/>
          <w:kern w:val="32"/>
          <w:szCs w:val="32"/>
          <w:lang w:val="en-US" w:eastAsia="zh-CN"/>
        </w:rPr>
        <w:t>力</w:t>
      </w:r>
      <w:r>
        <w:rPr>
          <w:rFonts w:hint="eastAsia" w:eastAsia="仿宋_GB2312"/>
          <w:color w:val="000000"/>
          <w:kern w:val="32"/>
          <w:szCs w:val="32"/>
        </w:rPr>
        <w:t>新能源之都建设”工作专班成员</w:t>
      </w:r>
    </w:p>
    <w:p>
      <w:pPr>
        <w:pStyle w:val="40"/>
        <w:tabs>
          <w:tab w:val="left" w:pos="1596"/>
        </w:tabs>
        <w:overflowPunct w:val="0"/>
        <w:adjustRightInd w:val="0"/>
        <w:spacing w:line="570" w:lineRule="exact"/>
        <w:ind w:firstLine="2000" w:firstLineChars="625"/>
        <w:rPr>
          <w:rFonts w:eastAsia="仿宋_GB2312"/>
          <w:color w:val="000000"/>
          <w:spacing w:val="-20"/>
          <w:kern w:val="32"/>
          <w:szCs w:val="32"/>
        </w:rPr>
      </w:pPr>
      <w:r>
        <w:rPr>
          <w:rFonts w:hint="eastAsia" w:eastAsia="仿宋_GB2312"/>
          <w:color w:val="000000"/>
          <w:kern w:val="32"/>
          <w:szCs w:val="32"/>
        </w:rPr>
        <w:t>名单</w:t>
      </w:r>
    </w:p>
    <w:p>
      <w:pPr>
        <w:pStyle w:val="40"/>
        <w:tabs>
          <w:tab w:val="left" w:pos="1596"/>
        </w:tabs>
        <w:overflowPunct w:val="0"/>
        <w:adjustRightInd w:val="0"/>
        <w:spacing w:line="570" w:lineRule="exact"/>
        <w:ind w:firstLine="1638" w:firstLineChars="585"/>
        <w:rPr>
          <w:rFonts w:eastAsia="仿宋_GB2312"/>
          <w:color w:val="000000"/>
          <w:spacing w:val="-20"/>
          <w:kern w:val="32"/>
          <w:szCs w:val="32"/>
        </w:rPr>
      </w:pPr>
      <w:r>
        <w:rPr>
          <w:rFonts w:hint="eastAsia" w:eastAsia="仿宋_GB2312"/>
          <w:color w:val="000000"/>
          <w:spacing w:val="-20"/>
          <w:kern w:val="32"/>
          <w:szCs w:val="32"/>
        </w:rPr>
        <w:t>2</w:t>
      </w:r>
      <w:r>
        <w:rPr>
          <w:rFonts w:hint="eastAsia" w:eastAsia="仿宋_GB2312"/>
          <w:color w:val="000000"/>
          <w:kern w:val="32"/>
          <w:szCs w:val="32"/>
        </w:rPr>
        <w:t>. 新能源之都建设生态图谱（国家级创新平台）</w:t>
      </w:r>
    </w:p>
    <w:p>
      <w:pPr>
        <w:pStyle w:val="40"/>
        <w:tabs>
          <w:tab w:val="left" w:pos="1596"/>
        </w:tabs>
        <w:overflowPunct w:val="0"/>
        <w:adjustRightInd w:val="0"/>
        <w:spacing w:line="570" w:lineRule="exact"/>
        <w:ind w:firstLine="1638" w:firstLineChars="585"/>
        <w:rPr>
          <w:rFonts w:eastAsia="仿宋_GB2312"/>
          <w:color w:val="000000"/>
          <w:spacing w:val="-20"/>
          <w:kern w:val="32"/>
          <w:szCs w:val="32"/>
        </w:rPr>
      </w:pPr>
      <w:r>
        <w:rPr>
          <w:rFonts w:hint="eastAsia" w:eastAsia="仿宋_GB2312"/>
          <w:color w:val="000000"/>
          <w:spacing w:val="-20"/>
          <w:kern w:val="32"/>
          <w:szCs w:val="32"/>
        </w:rPr>
        <w:t>3</w:t>
      </w:r>
      <w:r>
        <w:rPr>
          <w:rFonts w:hint="eastAsia" w:eastAsia="仿宋_GB2312"/>
          <w:color w:val="000000"/>
          <w:kern w:val="32"/>
          <w:szCs w:val="32"/>
        </w:rPr>
        <w:t>. 全市新能源领域重点培育创新平台</w:t>
      </w:r>
    </w:p>
    <w:p>
      <w:pPr>
        <w:widowControl/>
        <w:jc w:val="left"/>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br w:type="page"/>
      </w:r>
    </w:p>
    <w:p>
      <w:pPr>
        <w:pStyle w:val="40"/>
        <w:tabs>
          <w:tab w:val="left" w:pos="1596"/>
        </w:tabs>
        <w:adjustRightInd w:val="0"/>
        <w:spacing w:line="560" w:lineRule="exact"/>
        <w:ind w:firstLine="0"/>
        <w:contextualSpacing/>
        <w:rPr>
          <w:rFonts w:eastAsia="黑体"/>
          <w:color w:val="000000"/>
          <w:szCs w:val="32"/>
        </w:rPr>
      </w:pPr>
      <w:r>
        <w:rPr>
          <w:rFonts w:hAnsi="黑体" w:eastAsia="黑体"/>
          <w:color w:val="000000"/>
          <w:szCs w:val="32"/>
        </w:rPr>
        <w:t>附件</w:t>
      </w:r>
      <w:r>
        <w:rPr>
          <w:rFonts w:eastAsia="黑体"/>
          <w:color w:val="000000"/>
          <w:szCs w:val="32"/>
        </w:rPr>
        <w:t>1</w:t>
      </w:r>
    </w:p>
    <w:p>
      <w:pPr>
        <w:pStyle w:val="40"/>
        <w:tabs>
          <w:tab w:val="left" w:pos="1596"/>
        </w:tabs>
        <w:overflowPunct w:val="0"/>
        <w:adjustRightInd w:val="0"/>
        <w:spacing w:line="570" w:lineRule="exact"/>
        <w:ind w:firstLine="0"/>
        <w:jc w:val="center"/>
        <w:rPr>
          <w:rFonts w:eastAsia="仿宋_GB2312"/>
          <w:color w:val="000000"/>
          <w:szCs w:val="32"/>
        </w:rPr>
      </w:pPr>
    </w:p>
    <w:p>
      <w:pPr>
        <w:overflowPunct w:val="0"/>
        <w:autoSpaceDE w:val="0"/>
        <w:autoSpaceDN w:val="0"/>
        <w:adjustRightInd w:val="0"/>
        <w:snapToGrid w:val="0"/>
        <w:spacing w:line="660" w:lineRule="exact"/>
        <w:jc w:val="center"/>
        <w:rPr>
          <w:rFonts w:eastAsia="方正小标宋简体"/>
          <w:sz w:val="44"/>
          <w:szCs w:val="44"/>
        </w:rPr>
      </w:pPr>
      <w:bookmarkStart w:id="0" w:name="_Hlk105258017"/>
      <w:r>
        <w:rPr>
          <w:rFonts w:eastAsia="方正小标宋简体"/>
          <w:sz w:val="44"/>
          <w:szCs w:val="44"/>
        </w:rPr>
        <w:t xml:space="preserve"> “科技创新助</w:t>
      </w:r>
      <w:r>
        <w:rPr>
          <w:rFonts w:hint="eastAsia" w:eastAsia="方正小标宋简体"/>
          <w:sz w:val="44"/>
          <w:szCs w:val="44"/>
          <w:lang w:val="en-US" w:eastAsia="zh-CN"/>
        </w:rPr>
        <w:t>力</w:t>
      </w:r>
      <w:r>
        <w:rPr>
          <w:rFonts w:eastAsia="方正小标宋简体"/>
          <w:sz w:val="44"/>
          <w:szCs w:val="44"/>
        </w:rPr>
        <w:t>新能源之都建设”工作专班</w:t>
      </w:r>
      <w:bookmarkEnd w:id="0"/>
    </w:p>
    <w:p>
      <w:pPr>
        <w:overflowPunct w:val="0"/>
        <w:autoSpaceDE w:val="0"/>
        <w:autoSpaceDN w:val="0"/>
        <w:adjustRightInd w:val="0"/>
        <w:snapToGrid w:val="0"/>
        <w:spacing w:line="660" w:lineRule="exact"/>
        <w:jc w:val="center"/>
        <w:rPr>
          <w:rFonts w:eastAsia="方正小标宋简体"/>
          <w:sz w:val="44"/>
          <w:szCs w:val="44"/>
        </w:rPr>
      </w:pPr>
      <w:r>
        <w:rPr>
          <w:rFonts w:hint="eastAsia" w:eastAsia="方正小标宋简体"/>
          <w:sz w:val="44"/>
          <w:szCs w:val="44"/>
        </w:rPr>
        <w:t>成员名单</w:t>
      </w:r>
    </w:p>
    <w:p>
      <w:pPr>
        <w:overflowPunct w:val="0"/>
        <w:autoSpaceDE w:val="0"/>
        <w:autoSpaceDN w:val="0"/>
        <w:adjustRightInd w:val="0"/>
        <w:snapToGrid w:val="0"/>
        <w:spacing w:line="570" w:lineRule="exact"/>
        <w:jc w:val="center"/>
        <w:rPr>
          <w:rFonts w:eastAsia="仿宋_GB2312"/>
          <w:sz w:val="32"/>
          <w:szCs w:val="32"/>
        </w:rPr>
      </w:pPr>
    </w:p>
    <w:p>
      <w:pPr>
        <w:overflowPunct w:val="0"/>
        <w:autoSpaceDE w:val="0"/>
        <w:autoSpaceDN w:val="0"/>
        <w:adjustRightInd w:val="0"/>
        <w:snapToGrid w:val="0"/>
        <w:spacing w:line="570" w:lineRule="exact"/>
        <w:ind w:firstLine="641"/>
        <w:rPr>
          <w:rFonts w:eastAsia="仿宋_GB2312"/>
          <w:sz w:val="32"/>
          <w:szCs w:val="32"/>
        </w:rPr>
      </w:pPr>
      <w:r>
        <w:rPr>
          <w:rFonts w:hint="eastAsia" w:eastAsia="仿宋_GB2312"/>
          <w:sz w:val="32"/>
          <w:szCs w:val="32"/>
        </w:rPr>
        <w:t>为聚焦“国际化智造名城、长三角中轴枢纽”城市定位，落实“532”发展战略，贯彻落实市委市政府关于加快新能源之都建设的决策部署，经研究，决定成立“科技创新助</w:t>
      </w:r>
      <w:r>
        <w:rPr>
          <w:rFonts w:hint="eastAsia" w:eastAsia="仿宋_GB2312"/>
          <w:sz w:val="32"/>
          <w:szCs w:val="32"/>
          <w:lang w:val="en-US" w:eastAsia="zh-CN"/>
        </w:rPr>
        <w:t>力</w:t>
      </w:r>
      <w:r>
        <w:rPr>
          <w:rFonts w:hint="eastAsia" w:eastAsia="仿宋_GB2312"/>
          <w:sz w:val="32"/>
          <w:szCs w:val="32"/>
        </w:rPr>
        <w:t>新能源之都建设”工作专班，专班成员名单如下：</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组  长：李  磊  党组书记、局长</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副组长：张朝晖  党组成员、副局长</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 xml:space="preserve">        赵  新  党组成员、副局长</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 xml:space="preserve">        费  晔  党组成员、副局长</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 xml:space="preserve">        白冰天  副局长</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 xml:space="preserve">        陆  伟  党组成员、副局长</w:t>
      </w:r>
    </w:p>
    <w:p>
      <w:pPr>
        <w:overflowPunct w:val="0"/>
        <w:autoSpaceDE w:val="0"/>
        <w:autoSpaceDN w:val="0"/>
        <w:adjustRightInd w:val="0"/>
        <w:snapToGrid w:val="0"/>
        <w:spacing w:line="570" w:lineRule="exact"/>
        <w:ind w:firstLine="641"/>
        <w:rPr>
          <w:rFonts w:eastAsia="仿宋_GB2312"/>
          <w:sz w:val="32"/>
          <w:szCs w:val="32"/>
        </w:rPr>
      </w:pPr>
      <w:r>
        <w:rPr>
          <w:rFonts w:eastAsia="仿宋_GB2312"/>
          <w:sz w:val="32"/>
          <w:szCs w:val="32"/>
        </w:rPr>
        <w:t>成  员：许红梅  办公室主任</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姜  辉  发展规划与资源配置处处长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周  欣  创新发展处处长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陈  亮  科技评估与诚信建设处副处长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钟林钧  产学研合作处处长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唐兆有  科技服务业处处长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赵  暖  高新技术处处长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薛  晔  农村与社会发展科技处处长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陆  华  引进国外智力工作处处长</w:t>
      </w:r>
    </w:p>
    <w:p>
      <w:pPr>
        <w:overflowPunct w:val="0"/>
        <w:autoSpaceDE w:val="0"/>
        <w:autoSpaceDN w:val="0"/>
        <w:adjustRightInd w:val="0"/>
        <w:snapToGrid w:val="0"/>
        <w:spacing w:line="570" w:lineRule="exact"/>
        <w:ind w:firstLine="1921"/>
        <w:rPr>
          <w:rFonts w:eastAsia="仿宋_GB2312"/>
          <w:sz w:val="32"/>
          <w:szCs w:val="32"/>
        </w:rPr>
      </w:pPr>
      <w:r>
        <w:rPr>
          <w:rFonts w:eastAsia="仿宋_GB2312"/>
          <w:sz w:val="32"/>
          <w:szCs w:val="32"/>
        </w:rPr>
        <w:t>杨  杰  对外合作与人才处副处长</w:t>
      </w:r>
    </w:p>
    <w:p>
      <w:pPr>
        <w:overflowPunct w:val="0"/>
        <w:autoSpaceDE w:val="0"/>
        <w:autoSpaceDN w:val="0"/>
        <w:adjustRightInd w:val="0"/>
        <w:snapToGrid w:val="0"/>
        <w:spacing w:line="570" w:lineRule="exact"/>
        <w:ind w:firstLine="1921"/>
        <w:rPr>
          <w:rFonts w:eastAsia="仿宋_GB2312"/>
          <w:sz w:val="32"/>
          <w:szCs w:val="32"/>
          <w:shd w:val="pct10" w:color="auto" w:fill="FFFFFF"/>
        </w:rPr>
      </w:pPr>
      <w:r>
        <w:rPr>
          <w:rFonts w:eastAsia="仿宋_GB2312"/>
          <w:sz w:val="32"/>
          <w:szCs w:val="32"/>
        </w:rPr>
        <w:t>王定一  组织人事处二级主任科员（主持工作）</w:t>
      </w:r>
    </w:p>
    <w:p>
      <w:pPr>
        <w:overflowPunct w:val="0"/>
        <w:autoSpaceDE w:val="0"/>
        <w:autoSpaceDN w:val="0"/>
        <w:adjustRightInd w:val="0"/>
        <w:snapToGrid w:val="0"/>
        <w:spacing w:line="570" w:lineRule="exact"/>
        <w:ind w:firstLine="1920" w:firstLineChars="600"/>
        <w:rPr>
          <w:rFonts w:eastAsia="仿宋_GB2312"/>
          <w:sz w:val="32"/>
          <w:szCs w:val="32"/>
          <w:shd w:val="pct10" w:color="auto" w:fill="FFFFFF"/>
        </w:rPr>
      </w:pPr>
    </w:p>
    <w:p>
      <w:pPr>
        <w:overflowPunct w:val="0"/>
        <w:autoSpaceDE w:val="0"/>
        <w:autoSpaceDN w:val="0"/>
        <w:adjustRightInd w:val="0"/>
        <w:snapToGrid w:val="0"/>
        <w:spacing w:line="570" w:lineRule="exact"/>
        <w:ind w:firstLine="641"/>
        <w:rPr>
          <w:rFonts w:eastAsia="仿宋_GB2312"/>
          <w:sz w:val="32"/>
          <w:szCs w:val="32"/>
        </w:rPr>
      </w:pPr>
      <w:r>
        <w:rPr>
          <w:rFonts w:hint="eastAsia" w:eastAsia="仿宋_GB2312"/>
          <w:sz w:val="32"/>
          <w:szCs w:val="32"/>
        </w:rPr>
        <w:t>专班具体工作由高新技术处牵头，创新发展处、产学研合作处、对外合作与人才处等处室配合。高新技术处负责制定“科技创新助</w:t>
      </w:r>
      <w:r>
        <w:rPr>
          <w:rFonts w:hint="eastAsia" w:eastAsia="仿宋_GB2312"/>
          <w:sz w:val="32"/>
          <w:szCs w:val="32"/>
          <w:lang w:val="en-US" w:eastAsia="zh-CN"/>
        </w:rPr>
        <w:t>力</w:t>
      </w:r>
      <w:r>
        <w:rPr>
          <w:rFonts w:hint="eastAsia" w:eastAsia="仿宋_GB2312"/>
          <w:sz w:val="32"/>
          <w:szCs w:val="32"/>
        </w:rPr>
        <w:t>新能源之都建设”专项行动计划，以及创新主体培育与科创载体建设等工作；产学研合作处负责创新平台的建设及国内产学研合作资源导入等工作；对外合作与人才处、引进国外智力工作处负责人才队伍建设及国际创新资源导入等工作；创新发展处负责产业创新政策支撑推动工作。其他处室结合各自处室职责分工积极配合完成“科技创新助</w:t>
      </w:r>
      <w:r>
        <w:rPr>
          <w:rFonts w:hint="eastAsia" w:eastAsia="仿宋_GB2312"/>
          <w:sz w:val="32"/>
          <w:szCs w:val="32"/>
          <w:lang w:val="en-US" w:eastAsia="zh-CN"/>
        </w:rPr>
        <w:t>力</w:t>
      </w:r>
      <w:r>
        <w:rPr>
          <w:rFonts w:hint="eastAsia" w:eastAsia="仿宋_GB2312"/>
          <w:sz w:val="32"/>
          <w:szCs w:val="32"/>
        </w:rPr>
        <w:t>新能源之都建设”工作专班各项任务。</w:t>
      </w:r>
    </w:p>
    <w:p>
      <w:pPr>
        <w:overflowPunct w:val="0"/>
        <w:autoSpaceDE w:val="0"/>
        <w:autoSpaceDN w:val="0"/>
        <w:adjustRightInd w:val="0"/>
        <w:snapToGrid w:val="0"/>
        <w:spacing w:line="540" w:lineRule="exact"/>
        <w:ind w:firstLine="641"/>
        <w:rPr>
          <w:rFonts w:eastAsia="仿宋_GB2312"/>
          <w:sz w:val="32"/>
          <w:szCs w:val="32"/>
        </w:rPr>
      </w:pPr>
    </w:p>
    <w:p>
      <w:pPr>
        <w:overflowPunct w:val="0"/>
        <w:autoSpaceDE w:val="0"/>
        <w:autoSpaceDN w:val="0"/>
        <w:adjustRightInd w:val="0"/>
        <w:snapToGrid w:val="0"/>
        <w:spacing w:line="540" w:lineRule="exact"/>
        <w:ind w:firstLine="641"/>
        <w:rPr>
          <w:rFonts w:eastAsia="仿宋_GB2312"/>
          <w:sz w:val="32"/>
          <w:szCs w:val="32"/>
        </w:rPr>
      </w:pPr>
    </w:p>
    <w:p>
      <w:pPr>
        <w:overflowPunct w:val="0"/>
        <w:autoSpaceDE w:val="0"/>
        <w:autoSpaceDN w:val="0"/>
        <w:adjustRightInd w:val="0"/>
        <w:snapToGrid w:val="0"/>
        <w:spacing w:line="540" w:lineRule="exact"/>
        <w:ind w:firstLine="641"/>
        <w:rPr>
          <w:rFonts w:eastAsia="仿宋_GB2312"/>
          <w:sz w:val="32"/>
          <w:szCs w:val="32"/>
        </w:rPr>
      </w:pPr>
    </w:p>
    <w:p>
      <w:pPr>
        <w:overflowPunct w:val="0"/>
        <w:autoSpaceDE w:val="0"/>
        <w:autoSpaceDN w:val="0"/>
        <w:adjustRightInd w:val="0"/>
        <w:snapToGrid w:val="0"/>
        <w:spacing w:line="540" w:lineRule="exact"/>
        <w:ind w:firstLine="641"/>
        <w:rPr>
          <w:rFonts w:eastAsia="仿宋_GB2312"/>
          <w:sz w:val="32"/>
          <w:szCs w:val="32"/>
        </w:rPr>
      </w:pPr>
    </w:p>
    <w:p>
      <w:pPr>
        <w:widowControl/>
        <w:jc w:val="left"/>
        <w:rPr>
          <w:rFonts w:eastAsia="仿宋_GB2312"/>
          <w:color w:val="000000" w:themeColor="text1"/>
          <w:sz w:val="28"/>
          <w:szCs w:val="28"/>
          <w14:textFill>
            <w14:solidFill>
              <w14:schemeClr w14:val="tx1"/>
            </w14:solidFill>
          </w14:textFill>
        </w:rPr>
        <w:sectPr>
          <w:footerReference r:id="rId4" w:type="default"/>
          <w:headerReference r:id="rId3" w:type="even"/>
          <w:footerReference r:id="rId5" w:type="even"/>
          <w:pgSz w:w="11906" w:h="16838"/>
          <w:pgMar w:top="2098" w:right="1531" w:bottom="1985" w:left="1531" w:header="709" w:footer="1361" w:gutter="0"/>
          <w:cols w:space="720" w:num="1"/>
          <w:docGrid w:linePitch="312" w:charSpace="0"/>
        </w:sectPr>
      </w:pPr>
    </w:p>
    <w:p>
      <w:pPr>
        <w:pStyle w:val="40"/>
        <w:tabs>
          <w:tab w:val="left" w:pos="1596"/>
        </w:tabs>
        <w:adjustRightInd w:val="0"/>
        <w:spacing w:line="560" w:lineRule="exact"/>
        <w:ind w:firstLine="0"/>
        <w:contextualSpacing/>
        <w:rPr>
          <w:rFonts w:eastAsia="黑体"/>
          <w:color w:val="000000"/>
          <w:szCs w:val="32"/>
        </w:rPr>
      </w:pPr>
      <w:r>
        <w:rPr>
          <w:rFonts w:hAnsi="黑体" w:eastAsia="黑体"/>
          <w:color w:val="000000"/>
          <w:szCs w:val="32"/>
        </w:rPr>
        <w:t>附件</w:t>
      </w:r>
      <w:r>
        <w:rPr>
          <w:rFonts w:eastAsia="黑体"/>
          <w:color w:val="000000"/>
          <w:szCs w:val="32"/>
        </w:rPr>
        <w:t>2</w:t>
      </w:r>
    </w:p>
    <w:p>
      <w:pPr>
        <w:overflowPunct w:val="0"/>
        <w:autoSpaceDE w:val="0"/>
        <w:autoSpaceDN w:val="0"/>
        <w:adjustRightInd w:val="0"/>
        <w:snapToGrid w:val="0"/>
        <w:spacing w:line="570" w:lineRule="exact"/>
        <w:jc w:val="center"/>
        <w:rPr>
          <w:rFonts w:eastAsia="方正小标宋简体"/>
          <w:sz w:val="44"/>
          <w:szCs w:val="44"/>
        </w:rPr>
      </w:pPr>
      <w:r>
        <w:rPr>
          <w:rFonts w:eastAsia="方正小标宋简体"/>
          <w:sz w:val="44"/>
          <w:szCs w:val="44"/>
        </w:rPr>
        <w:t>新能源之都建设生态图谱（国家级创新平台）</w:t>
      </w:r>
    </w:p>
    <w:p>
      <w:pPr>
        <w:overflowPunct w:val="0"/>
        <w:autoSpaceDE w:val="0"/>
        <w:autoSpaceDN w:val="0"/>
        <w:adjustRightInd w:val="0"/>
        <w:snapToGrid w:val="0"/>
        <w:spacing w:line="400" w:lineRule="exact"/>
        <w:jc w:val="center"/>
        <w:rPr>
          <w:rFonts w:eastAsia="方正小标宋简体"/>
          <w:sz w:val="44"/>
          <w:szCs w:val="44"/>
        </w:rPr>
      </w:pPr>
    </w:p>
    <w:tbl>
      <w:tblPr>
        <w:tblStyle w:val="2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78"/>
        <w:gridCol w:w="2351"/>
        <w:gridCol w:w="1533"/>
        <w:gridCol w:w="4654"/>
        <w:gridCol w:w="4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78" w:type="dxa"/>
            <w:vAlign w:val="center"/>
          </w:tcPr>
          <w:p>
            <w:pPr>
              <w:pStyle w:val="40"/>
              <w:tabs>
                <w:tab w:val="left" w:pos="1596"/>
              </w:tabs>
              <w:adjustRightInd w:val="0"/>
              <w:spacing w:line="400" w:lineRule="exact"/>
              <w:ind w:firstLine="0"/>
              <w:contextualSpacing/>
              <w:jc w:val="center"/>
              <w:rPr>
                <w:rFonts w:eastAsia="黑体"/>
                <w:color w:val="000000"/>
                <w:sz w:val="28"/>
                <w:szCs w:val="28"/>
              </w:rPr>
            </w:pPr>
            <w:r>
              <w:rPr>
                <w:rFonts w:eastAsia="黑体"/>
                <w:color w:val="000000"/>
                <w:sz w:val="28"/>
                <w:szCs w:val="28"/>
              </w:rPr>
              <w:t>序号</w:t>
            </w:r>
          </w:p>
        </w:tc>
        <w:tc>
          <w:tcPr>
            <w:tcW w:w="2351" w:type="dxa"/>
            <w:vAlign w:val="center"/>
          </w:tcPr>
          <w:p>
            <w:pPr>
              <w:pStyle w:val="40"/>
              <w:tabs>
                <w:tab w:val="left" w:pos="1596"/>
              </w:tabs>
              <w:adjustRightInd w:val="0"/>
              <w:spacing w:line="400" w:lineRule="exact"/>
              <w:ind w:firstLine="0"/>
              <w:contextualSpacing/>
              <w:jc w:val="center"/>
              <w:rPr>
                <w:rFonts w:eastAsia="黑体"/>
                <w:color w:val="000000"/>
                <w:sz w:val="28"/>
                <w:szCs w:val="28"/>
              </w:rPr>
            </w:pPr>
            <w:r>
              <w:rPr>
                <w:rFonts w:eastAsia="黑体"/>
                <w:color w:val="000000"/>
                <w:sz w:val="28"/>
                <w:szCs w:val="28"/>
              </w:rPr>
              <w:t>产业领域</w:t>
            </w:r>
          </w:p>
        </w:tc>
        <w:tc>
          <w:tcPr>
            <w:tcW w:w="1533" w:type="dxa"/>
            <w:vAlign w:val="center"/>
          </w:tcPr>
          <w:p>
            <w:pPr>
              <w:pStyle w:val="40"/>
              <w:tabs>
                <w:tab w:val="left" w:pos="1596"/>
              </w:tabs>
              <w:adjustRightInd w:val="0"/>
              <w:spacing w:line="400" w:lineRule="exact"/>
              <w:ind w:firstLine="0"/>
              <w:contextualSpacing/>
              <w:jc w:val="center"/>
              <w:rPr>
                <w:rFonts w:eastAsia="黑体"/>
                <w:color w:val="000000"/>
                <w:sz w:val="28"/>
                <w:szCs w:val="28"/>
              </w:rPr>
            </w:pPr>
            <w:r>
              <w:rPr>
                <w:rFonts w:eastAsia="黑体"/>
                <w:color w:val="000000"/>
                <w:sz w:val="28"/>
                <w:szCs w:val="28"/>
              </w:rPr>
              <w:t>所在城市</w:t>
            </w:r>
          </w:p>
        </w:tc>
        <w:tc>
          <w:tcPr>
            <w:tcW w:w="4654" w:type="dxa"/>
            <w:vAlign w:val="center"/>
          </w:tcPr>
          <w:p>
            <w:pPr>
              <w:pStyle w:val="40"/>
              <w:tabs>
                <w:tab w:val="left" w:pos="1596"/>
              </w:tabs>
              <w:adjustRightInd w:val="0"/>
              <w:spacing w:line="400" w:lineRule="exact"/>
              <w:ind w:firstLine="0"/>
              <w:contextualSpacing/>
              <w:jc w:val="center"/>
              <w:rPr>
                <w:rFonts w:eastAsia="黑体"/>
                <w:color w:val="000000"/>
                <w:sz w:val="28"/>
                <w:szCs w:val="28"/>
              </w:rPr>
            </w:pPr>
            <w:r>
              <w:rPr>
                <w:rFonts w:eastAsia="黑体"/>
                <w:color w:val="000000"/>
                <w:sz w:val="28"/>
                <w:szCs w:val="28"/>
              </w:rPr>
              <w:t>创新平台</w:t>
            </w:r>
          </w:p>
        </w:tc>
        <w:tc>
          <w:tcPr>
            <w:tcW w:w="4502" w:type="dxa"/>
            <w:vAlign w:val="center"/>
          </w:tcPr>
          <w:p>
            <w:pPr>
              <w:pStyle w:val="40"/>
              <w:tabs>
                <w:tab w:val="left" w:pos="1596"/>
              </w:tabs>
              <w:adjustRightInd w:val="0"/>
              <w:spacing w:line="400" w:lineRule="exact"/>
              <w:ind w:firstLine="0"/>
              <w:contextualSpacing/>
              <w:jc w:val="center"/>
              <w:rPr>
                <w:rFonts w:eastAsia="黑体"/>
                <w:color w:val="000000"/>
                <w:sz w:val="28"/>
                <w:szCs w:val="28"/>
              </w:rPr>
            </w:pPr>
            <w:r>
              <w:rPr>
                <w:rFonts w:eastAsia="黑体"/>
                <w:color w:val="000000"/>
                <w:sz w:val="28"/>
                <w:szCs w:val="28"/>
              </w:rPr>
              <w:t>建设单位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p>
        </w:tc>
        <w:tc>
          <w:tcPr>
            <w:tcW w:w="2351" w:type="dxa"/>
            <w:vMerge w:val="restart"/>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太阳能光伏</w:t>
            </w: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新能源电力系统国家重点实验室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华北电力大学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国家新能源工程技术研究中心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北京市太阳能研究所有限公司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3</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广州</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发光材料与器件国家重点实验室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华南理工大学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4</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长沙</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国家光伏装备工程技术研究中心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中国电子科技集团有限公司第四十八研究所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5</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南京</w:t>
            </w:r>
          </w:p>
        </w:tc>
        <w:tc>
          <w:tcPr>
            <w:tcW w:w="4654" w:type="dxa"/>
            <w:vAlign w:val="center"/>
          </w:tcPr>
          <w:p>
            <w:pPr>
              <w:pStyle w:val="40"/>
              <w:tabs>
                <w:tab w:val="left" w:pos="1596"/>
              </w:tabs>
              <w:adjustRightInd w:val="0"/>
              <w:spacing w:line="400" w:lineRule="exact"/>
              <w:ind w:left="-57" w:right="-57" w:firstLine="0"/>
              <w:contextualSpacing/>
              <w:jc w:val="left"/>
              <w:rPr>
                <w:rFonts w:eastAsia="仿宋_GB2312"/>
                <w:color w:val="000000"/>
                <w:spacing w:val="-6"/>
                <w:sz w:val="28"/>
                <w:szCs w:val="28"/>
              </w:rPr>
            </w:pPr>
            <w:r>
              <w:rPr>
                <w:rFonts w:eastAsia="仿宋_GB2312"/>
                <w:color w:val="000000"/>
                <w:spacing w:val="-6"/>
                <w:sz w:val="28"/>
                <w:szCs w:val="28"/>
              </w:rPr>
              <w:t>国家能源太阳能发电研发（实验）中心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国家电网有限公司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6</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常州</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光伏科学与技术国家重点实验室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天合光能股份有限公司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7</w:t>
            </w:r>
          </w:p>
        </w:tc>
        <w:tc>
          <w:tcPr>
            <w:tcW w:w="2351" w:type="dxa"/>
            <w:vMerge w:val="restart"/>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动力及储能电池</w:t>
            </w: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中国科学院物理研究所</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中国科学院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8</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国家动力电池创新中心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国联汽车动力电池研究院有限责任公司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9</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天津</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高效储能教育部工程研究中心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南开大学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10</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长春</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新型电池物理与技术教育部重点实验室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吉林大学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11</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宁波</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中国科学院宁波材料所</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中国科学院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12</w:t>
            </w:r>
          </w:p>
        </w:tc>
        <w:tc>
          <w:tcPr>
            <w:tcW w:w="2351" w:type="dxa"/>
            <w:vMerge w:val="restart"/>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氢能</w:t>
            </w: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国际氢能中心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北京清华工业开发研究院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13</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上海</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上海交通大学氢科学中心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上海交通大学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14</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西安</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动力工程多相流国家重点实验室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西安交通大学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15</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大连</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洁净能源国家实验室（筹）</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中国科学院大连化学物理研究所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16</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大连</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精细化工国家重点实验室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大连理工大学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17</w:t>
            </w:r>
          </w:p>
        </w:tc>
        <w:tc>
          <w:tcPr>
            <w:tcW w:w="2351" w:type="dxa"/>
            <w:vMerge w:val="restart"/>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新型电力装备</w:t>
            </w: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电力系统及大型发电设备安全控制和仿真国家重点实验室</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清华大学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18</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先进输电技术国家重点实验室</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全球能源互联网研究院有限公司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19</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重庆</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输配电装备及系统安全与新技术国家重点实验室</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重庆大学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20</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西安</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电力设备电气绝缘国家重点实验室</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西安交通大学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21</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智能电网保护和运行控制国家重点实验室</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南瑞集团有限公司</w:t>
            </w:r>
          </w:p>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（国网电力科学研究院有限公司）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50" w:hRule="atLeast"/>
          <w:jc w:val="center"/>
        </w:trPr>
        <w:tc>
          <w:tcPr>
            <w:tcW w:w="1178"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22</w:t>
            </w:r>
          </w:p>
        </w:tc>
        <w:tc>
          <w:tcPr>
            <w:tcW w:w="2351" w:type="dxa"/>
            <w:vMerge w:val="continue"/>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南京</w:t>
            </w:r>
          </w:p>
        </w:tc>
        <w:tc>
          <w:tcPr>
            <w:tcW w:w="4654" w:type="dxa"/>
            <w:shd w:val="clear" w:color="auto" w:fill="auto"/>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hint="eastAsia" w:eastAsia="仿宋_GB2312"/>
                <w:color w:val="000000"/>
                <w:sz w:val="28"/>
                <w:szCs w:val="28"/>
              </w:rPr>
              <w:t>大型发电装备安全运行与智能测控国家工程研究中心</w:t>
            </w:r>
          </w:p>
        </w:tc>
        <w:tc>
          <w:tcPr>
            <w:tcW w:w="4502" w:type="dxa"/>
            <w:shd w:val="clear" w:color="auto" w:fill="auto"/>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hint="eastAsia" w:eastAsia="仿宋_GB2312"/>
                <w:color w:val="000000"/>
                <w:sz w:val="28"/>
                <w:szCs w:val="28"/>
              </w:rPr>
              <w:t>东南大学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3</w:t>
            </w:r>
          </w:p>
        </w:tc>
        <w:tc>
          <w:tcPr>
            <w:tcW w:w="2351" w:type="dxa"/>
            <w:vMerge w:val="restart"/>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新能源汽车</w:t>
            </w: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汽车安全与节能国家重点实验室</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清华大学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4</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电动车辆国家工程研究中心</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北京理工大学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5</w:t>
            </w:r>
          </w:p>
        </w:tc>
        <w:tc>
          <w:tcPr>
            <w:tcW w:w="2351" w:type="dxa"/>
            <w:vMerge w:val="restart"/>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新能源汽车</w:t>
            </w: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北京</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国家新能源汽车技术创新中心</w:t>
            </w:r>
          </w:p>
        </w:tc>
        <w:tc>
          <w:tcPr>
            <w:tcW w:w="4502" w:type="dxa"/>
            <w:vAlign w:val="center"/>
          </w:tcPr>
          <w:p>
            <w:pPr>
              <w:pStyle w:val="40"/>
              <w:tabs>
                <w:tab w:val="left" w:pos="1596"/>
              </w:tabs>
              <w:adjustRightInd w:val="0"/>
              <w:spacing w:line="360" w:lineRule="exact"/>
              <w:ind w:firstLine="0"/>
              <w:contextualSpacing/>
              <w:rPr>
                <w:rFonts w:eastAsia="仿宋_GB2312"/>
                <w:color w:val="000000"/>
                <w:sz w:val="28"/>
                <w:szCs w:val="28"/>
              </w:rPr>
            </w:pPr>
            <w:r>
              <w:rPr>
                <w:rFonts w:eastAsia="仿宋_GB2312"/>
                <w:color w:val="000000"/>
                <w:sz w:val="28"/>
                <w:szCs w:val="28"/>
              </w:rPr>
              <w:t>北京国家新能源汽车技术创新中心有限公司</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6</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上海</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新能源汽车及动力系统国家工程实验室</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同济大学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178"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r>
              <w:rPr>
                <w:rFonts w:hint="eastAsia" w:eastAsia="仿宋_GB2312"/>
                <w:color w:val="000000"/>
                <w:sz w:val="28"/>
                <w:szCs w:val="28"/>
              </w:rPr>
              <w:t>7</w:t>
            </w:r>
          </w:p>
        </w:tc>
        <w:tc>
          <w:tcPr>
            <w:tcW w:w="2351" w:type="dxa"/>
            <w:vMerge w:val="continue"/>
            <w:vAlign w:val="center"/>
          </w:tcPr>
          <w:p>
            <w:pPr>
              <w:pStyle w:val="40"/>
              <w:tabs>
                <w:tab w:val="left" w:pos="1596"/>
              </w:tabs>
              <w:adjustRightInd w:val="0"/>
              <w:spacing w:line="400" w:lineRule="exact"/>
              <w:ind w:firstLine="0"/>
              <w:contextualSpacing/>
              <w:jc w:val="center"/>
              <w:rPr>
                <w:rFonts w:eastAsia="仿宋_GB2312"/>
                <w:color w:val="000000"/>
                <w:sz w:val="28"/>
                <w:szCs w:val="28"/>
              </w:rPr>
            </w:pPr>
          </w:p>
        </w:tc>
        <w:tc>
          <w:tcPr>
            <w:tcW w:w="1533"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宁波</w:t>
            </w:r>
          </w:p>
        </w:tc>
        <w:tc>
          <w:tcPr>
            <w:tcW w:w="4654" w:type="dxa"/>
            <w:vAlign w:val="center"/>
          </w:tcPr>
          <w:p>
            <w:pPr>
              <w:pStyle w:val="40"/>
              <w:tabs>
                <w:tab w:val="left" w:pos="1596"/>
              </w:tabs>
              <w:adjustRightInd w:val="0"/>
              <w:spacing w:line="400" w:lineRule="exact"/>
              <w:ind w:firstLine="0"/>
              <w:contextualSpacing/>
              <w:jc w:val="left"/>
              <w:rPr>
                <w:rFonts w:eastAsia="仿宋_GB2312"/>
                <w:color w:val="000000"/>
                <w:sz w:val="28"/>
                <w:szCs w:val="28"/>
              </w:rPr>
            </w:pPr>
            <w:r>
              <w:rPr>
                <w:rFonts w:eastAsia="仿宋_GB2312"/>
                <w:color w:val="000000"/>
                <w:sz w:val="28"/>
                <w:szCs w:val="28"/>
              </w:rPr>
              <w:t>国家地方联合新能源汽车智能制造工程研究中心</w:t>
            </w:r>
          </w:p>
        </w:tc>
        <w:tc>
          <w:tcPr>
            <w:tcW w:w="45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吉利汽车，华中科技大学</w:t>
            </w:r>
          </w:p>
        </w:tc>
      </w:tr>
    </w:tbl>
    <w:p>
      <w:pPr>
        <w:tabs>
          <w:tab w:val="left" w:pos="1050"/>
        </w:tabs>
      </w:pPr>
      <w:r>
        <w:tab/>
      </w:r>
    </w:p>
    <w:p>
      <w:pPr>
        <w:widowControl/>
        <w:jc w:val="left"/>
      </w:pPr>
      <w:r>
        <w:br w:type="page"/>
      </w:r>
    </w:p>
    <w:p>
      <w:pPr>
        <w:pStyle w:val="40"/>
        <w:tabs>
          <w:tab w:val="left" w:pos="1596"/>
        </w:tabs>
        <w:adjustRightInd w:val="0"/>
        <w:spacing w:line="560" w:lineRule="exact"/>
        <w:ind w:firstLine="0"/>
        <w:contextualSpacing/>
        <w:rPr>
          <w:rFonts w:eastAsia="黑体"/>
          <w:color w:val="000000"/>
          <w:szCs w:val="32"/>
        </w:rPr>
      </w:pPr>
      <w:r>
        <w:rPr>
          <w:rFonts w:hAnsi="黑体" w:eastAsia="黑体"/>
          <w:color w:val="000000"/>
          <w:szCs w:val="32"/>
        </w:rPr>
        <w:t>附件</w:t>
      </w:r>
      <w:r>
        <w:rPr>
          <w:rFonts w:eastAsia="黑体"/>
          <w:color w:val="000000"/>
          <w:szCs w:val="32"/>
        </w:rPr>
        <w:t>3</w:t>
      </w:r>
    </w:p>
    <w:p>
      <w:pPr>
        <w:overflowPunct w:val="0"/>
        <w:autoSpaceDE w:val="0"/>
        <w:autoSpaceDN w:val="0"/>
        <w:adjustRightInd w:val="0"/>
        <w:snapToGrid w:val="0"/>
        <w:spacing w:line="570" w:lineRule="exact"/>
        <w:jc w:val="center"/>
        <w:rPr>
          <w:rFonts w:eastAsia="方正小标宋简体"/>
          <w:sz w:val="44"/>
          <w:szCs w:val="44"/>
        </w:rPr>
      </w:pPr>
      <w:r>
        <w:rPr>
          <w:rFonts w:eastAsia="方正小标宋简体"/>
          <w:sz w:val="44"/>
          <w:szCs w:val="44"/>
        </w:rPr>
        <w:t>全市新能源领域重点培育创新平台</w:t>
      </w:r>
    </w:p>
    <w:p>
      <w:pPr>
        <w:overflowPunct w:val="0"/>
        <w:autoSpaceDE w:val="0"/>
        <w:autoSpaceDN w:val="0"/>
        <w:adjustRightInd w:val="0"/>
        <w:snapToGrid w:val="0"/>
        <w:spacing w:line="400" w:lineRule="exact"/>
        <w:jc w:val="center"/>
        <w:rPr>
          <w:rFonts w:eastAsia="方正小标宋简体"/>
          <w:sz w:val="44"/>
          <w:szCs w:val="44"/>
        </w:rPr>
      </w:pPr>
    </w:p>
    <w:tbl>
      <w:tblPr>
        <w:tblStyle w:val="21"/>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083"/>
        <w:gridCol w:w="4955"/>
        <w:gridCol w:w="6450"/>
        <w:gridCol w:w="173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50" w:type="dxa"/>
            <w:vAlign w:val="center"/>
          </w:tcPr>
          <w:p>
            <w:pPr>
              <w:pStyle w:val="40"/>
              <w:tabs>
                <w:tab w:val="left" w:pos="1596"/>
              </w:tabs>
              <w:adjustRightInd w:val="0"/>
              <w:spacing w:line="400" w:lineRule="exact"/>
              <w:ind w:firstLine="0"/>
              <w:contextualSpacing/>
              <w:jc w:val="center"/>
              <w:rPr>
                <w:rFonts w:ascii="黑体" w:hAnsi="黑体" w:eastAsia="黑体"/>
                <w:color w:val="000000"/>
                <w:sz w:val="28"/>
                <w:szCs w:val="28"/>
              </w:rPr>
            </w:pPr>
            <w:r>
              <w:rPr>
                <w:rFonts w:ascii="黑体" w:hAnsi="黑体" w:eastAsia="黑体"/>
                <w:color w:val="000000"/>
                <w:sz w:val="28"/>
                <w:szCs w:val="28"/>
              </w:rPr>
              <w:t>序号</w:t>
            </w:r>
          </w:p>
        </w:tc>
        <w:tc>
          <w:tcPr>
            <w:tcW w:w="4802" w:type="dxa"/>
            <w:vAlign w:val="center"/>
          </w:tcPr>
          <w:p>
            <w:pPr>
              <w:pStyle w:val="40"/>
              <w:tabs>
                <w:tab w:val="left" w:pos="1596"/>
              </w:tabs>
              <w:adjustRightInd w:val="0"/>
              <w:spacing w:line="400" w:lineRule="exact"/>
              <w:ind w:firstLine="0"/>
              <w:contextualSpacing/>
              <w:jc w:val="center"/>
              <w:rPr>
                <w:rFonts w:ascii="黑体" w:hAnsi="黑体" w:eastAsia="黑体"/>
                <w:color w:val="000000"/>
                <w:sz w:val="28"/>
                <w:szCs w:val="28"/>
              </w:rPr>
            </w:pPr>
            <w:r>
              <w:rPr>
                <w:rFonts w:ascii="黑体" w:hAnsi="黑体" w:eastAsia="黑体"/>
                <w:color w:val="000000"/>
                <w:sz w:val="28"/>
                <w:szCs w:val="28"/>
              </w:rPr>
              <w:t>培育目标</w:t>
            </w:r>
          </w:p>
        </w:tc>
        <w:tc>
          <w:tcPr>
            <w:tcW w:w="6251" w:type="dxa"/>
            <w:vAlign w:val="center"/>
          </w:tcPr>
          <w:p>
            <w:pPr>
              <w:pStyle w:val="40"/>
              <w:tabs>
                <w:tab w:val="left" w:pos="1596"/>
              </w:tabs>
              <w:adjustRightInd w:val="0"/>
              <w:spacing w:line="400" w:lineRule="exact"/>
              <w:ind w:firstLine="0"/>
              <w:contextualSpacing/>
              <w:jc w:val="center"/>
              <w:rPr>
                <w:rFonts w:ascii="黑体" w:hAnsi="黑体" w:eastAsia="黑体"/>
                <w:color w:val="000000"/>
                <w:sz w:val="28"/>
                <w:szCs w:val="28"/>
              </w:rPr>
            </w:pPr>
            <w:r>
              <w:rPr>
                <w:rFonts w:ascii="黑体" w:hAnsi="黑体" w:eastAsia="黑体"/>
                <w:color w:val="000000"/>
                <w:sz w:val="28"/>
                <w:szCs w:val="28"/>
              </w:rPr>
              <w:t>依托单位</w:t>
            </w:r>
          </w:p>
        </w:tc>
        <w:tc>
          <w:tcPr>
            <w:tcW w:w="1677" w:type="dxa"/>
            <w:vAlign w:val="center"/>
          </w:tcPr>
          <w:p>
            <w:pPr>
              <w:pStyle w:val="40"/>
              <w:tabs>
                <w:tab w:val="left" w:pos="1596"/>
              </w:tabs>
              <w:adjustRightInd w:val="0"/>
              <w:spacing w:line="400" w:lineRule="exact"/>
              <w:ind w:firstLine="0"/>
              <w:contextualSpacing/>
              <w:jc w:val="center"/>
              <w:rPr>
                <w:rFonts w:ascii="黑体" w:hAnsi="黑体" w:eastAsia="黑体"/>
                <w:color w:val="000000"/>
                <w:sz w:val="28"/>
                <w:szCs w:val="28"/>
              </w:rPr>
            </w:pPr>
            <w:r>
              <w:rPr>
                <w:rFonts w:ascii="黑体" w:hAnsi="黑体" w:eastAsia="黑体"/>
                <w:color w:val="000000"/>
                <w:sz w:val="28"/>
                <w:szCs w:val="28"/>
              </w:rPr>
              <w:t>所在地区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争创光伏科学与技术全国重点实验室</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天合光能股份有限公司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新北区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2</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争创国家清洁能源材料技术创新中心</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长三角物理研究中心有限公司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溧阳市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3</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争创江苏省实验室或省技术创新中心</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智能制造龙城实验室</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科教城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4</w:t>
            </w:r>
          </w:p>
        </w:tc>
        <w:tc>
          <w:tcPr>
            <w:tcW w:w="4802" w:type="dxa"/>
            <w:shd w:val="clear" w:color="auto" w:fill="auto"/>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hint="eastAsia" w:eastAsia="仿宋_GB2312"/>
                <w:color w:val="000000"/>
                <w:sz w:val="28"/>
                <w:szCs w:val="28"/>
              </w:rPr>
              <w:t>建强国家级科技创新平台</w:t>
            </w:r>
          </w:p>
        </w:tc>
        <w:tc>
          <w:tcPr>
            <w:tcW w:w="6251" w:type="dxa"/>
            <w:shd w:val="clear" w:color="auto" w:fill="auto"/>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hint="eastAsia" w:eastAsia="仿宋_GB2312"/>
                <w:color w:val="000000"/>
                <w:sz w:val="28"/>
                <w:szCs w:val="28"/>
              </w:rPr>
              <w:t>中海油常州涂料化工研究院</w:t>
            </w:r>
          </w:p>
        </w:tc>
        <w:tc>
          <w:tcPr>
            <w:tcW w:w="1677"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钟楼区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5</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建强省级新型研发机构</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天目湖先进储能技术研究院有限公司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溧阳市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6</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建强省级新型研发机构</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重庆大学溧阳智慧城市研究院</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溧阳市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7</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建强省级新型研发机构</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江苏中科智能科学技术应用研究院</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科教城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8</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建强省级新型研发机构</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机械科学研究总院江苏分院有限公司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科教城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9</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建强省级新型研发机构</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常州湖南大学机械装备研究院</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科教城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hint="eastAsia" w:eastAsia="仿宋_GB2312"/>
                <w:color w:val="000000"/>
                <w:sz w:val="28"/>
                <w:szCs w:val="28"/>
              </w:rPr>
              <w:t>10</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建强省级新型研发机构</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中汽研（常州）汽车工程研究院有限公司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武进区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1</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建强省级科技公共服务平台</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江苏集萃安泰创明先进能源材料研究院有限公司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新北区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2</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建强省级重点实验室</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常州亿晶光电科技有限公司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金坛区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3</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建强省级重点实验室</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常州亚玛顿股份有限公司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天宁区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4</w:t>
            </w:r>
          </w:p>
        </w:tc>
        <w:tc>
          <w:tcPr>
            <w:tcW w:w="4802"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争创省级以上科技创新平台</w:t>
            </w:r>
          </w:p>
        </w:tc>
        <w:tc>
          <w:tcPr>
            <w:tcW w:w="6251" w:type="dxa"/>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中创新航技术研究院（江苏）有限公司</w:t>
            </w:r>
          </w:p>
        </w:tc>
        <w:tc>
          <w:tcPr>
            <w:tcW w:w="1677" w:type="dxa"/>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金坛区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5</w:t>
            </w:r>
          </w:p>
        </w:tc>
        <w:tc>
          <w:tcPr>
            <w:tcW w:w="4802" w:type="dxa"/>
            <w:shd w:val="clear" w:color="auto" w:fill="auto"/>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争创省级以上科技创新平台</w:t>
            </w:r>
          </w:p>
        </w:tc>
        <w:tc>
          <w:tcPr>
            <w:tcW w:w="6251" w:type="dxa"/>
            <w:shd w:val="clear" w:color="auto" w:fill="auto"/>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国创移动能源创新中心（江苏）有限公司</w:t>
            </w:r>
          </w:p>
        </w:tc>
        <w:tc>
          <w:tcPr>
            <w:tcW w:w="1677"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科教城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jc w:val="center"/>
        </w:trPr>
        <w:tc>
          <w:tcPr>
            <w:tcW w:w="1050"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1</w:t>
            </w:r>
            <w:r>
              <w:rPr>
                <w:rFonts w:hint="eastAsia" w:eastAsia="仿宋_GB2312"/>
                <w:color w:val="000000"/>
                <w:sz w:val="28"/>
                <w:szCs w:val="28"/>
              </w:rPr>
              <w:t>6</w:t>
            </w:r>
          </w:p>
        </w:tc>
        <w:tc>
          <w:tcPr>
            <w:tcW w:w="4802" w:type="dxa"/>
            <w:shd w:val="clear" w:color="auto" w:fill="auto"/>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争创省级以上科技创新平台</w:t>
            </w:r>
          </w:p>
        </w:tc>
        <w:tc>
          <w:tcPr>
            <w:tcW w:w="6251" w:type="dxa"/>
            <w:shd w:val="clear" w:color="auto" w:fill="auto"/>
            <w:vAlign w:val="center"/>
          </w:tcPr>
          <w:p>
            <w:pPr>
              <w:pStyle w:val="40"/>
              <w:tabs>
                <w:tab w:val="left" w:pos="1596"/>
              </w:tabs>
              <w:adjustRightInd w:val="0"/>
              <w:spacing w:line="400" w:lineRule="exact"/>
              <w:ind w:firstLine="0"/>
              <w:contextualSpacing/>
              <w:rPr>
                <w:rFonts w:eastAsia="仿宋_GB2312"/>
                <w:color w:val="000000"/>
                <w:sz w:val="28"/>
                <w:szCs w:val="28"/>
              </w:rPr>
            </w:pPr>
            <w:r>
              <w:rPr>
                <w:rFonts w:eastAsia="仿宋_GB2312"/>
                <w:color w:val="000000"/>
                <w:sz w:val="28"/>
                <w:szCs w:val="28"/>
              </w:rPr>
              <w:t>国创未来检测技术（江苏）有限公司</w:t>
            </w:r>
          </w:p>
        </w:tc>
        <w:tc>
          <w:tcPr>
            <w:tcW w:w="1677" w:type="dxa"/>
            <w:shd w:val="clear" w:color="auto" w:fill="auto"/>
            <w:vAlign w:val="center"/>
          </w:tcPr>
          <w:p>
            <w:pPr>
              <w:pStyle w:val="40"/>
              <w:tabs>
                <w:tab w:val="left" w:pos="1596"/>
              </w:tabs>
              <w:adjustRightInd w:val="0"/>
              <w:spacing w:line="400" w:lineRule="exact"/>
              <w:ind w:firstLine="0"/>
              <w:contextualSpacing/>
              <w:jc w:val="center"/>
              <w:rPr>
                <w:rFonts w:eastAsia="仿宋_GB2312"/>
                <w:color w:val="000000"/>
                <w:sz w:val="28"/>
                <w:szCs w:val="28"/>
              </w:rPr>
            </w:pPr>
            <w:r>
              <w:rPr>
                <w:rFonts w:eastAsia="仿宋_GB2312"/>
                <w:color w:val="000000"/>
                <w:sz w:val="28"/>
                <w:szCs w:val="28"/>
              </w:rPr>
              <w:t>天宁区</w:t>
            </w:r>
          </w:p>
        </w:tc>
      </w:tr>
    </w:tbl>
    <w:p>
      <w:pPr>
        <w:pStyle w:val="40"/>
        <w:tabs>
          <w:tab w:val="left" w:pos="1596"/>
        </w:tabs>
        <w:adjustRightInd w:val="0"/>
        <w:spacing w:line="560" w:lineRule="exact"/>
        <w:ind w:left="420" w:firstLine="0"/>
        <w:contextualSpacing/>
        <w:rPr>
          <w:rFonts w:eastAsia="仿宋_GB2312"/>
          <w:color w:val="000000"/>
          <w:szCs w:val="32"/>
        </w:rPr>
      </w:pPr>
    </w:p>
    <w:p>
      <w:pPr>
        <w:spacing w:line="460" w:lineRule="exact"/>
        <w:ind w:firstLine="882" w:firstLineChars="315"/>
        <w:jc w:val="left"/>
        <w:rPr>
          <w:rFonts w:eastAsia="仿宋_GB2312"/>
          <w:color w:val="000000" w:themeColor="text1"/>
          <w:sz w:val="28"/>
          <w:szCs w:val="28"/>
          <w14:textFill>
            <w14:solidFill>
              <w14:schemeClr w14:val="tx1"/>
            </w14:solidFill>
          </w14:textFill>
        </w:rPr>
      </w:pPr>
    </w:p>
    <w:p>
      <w:pPr>
        <w:spacing w:line="460" w:lineRule="exact"/>
        <w:ind w:firstLine="882" w:firstLineChars="315"/>
        <w:jc w:val="left"/>
        <w:rPr>
          <w:rFonts w:eastAsia="仿宋_GB2312"/>
          <w:color w:val="000000" w:themeColor="text1"/>
          <w:sz w:val="28"/>
          <w:szCs w:val="28"/>
          <w14:textFill>
            <w14:solidFill>
              <w14:schemeClr w14:val="tx1"/>
            </w14:solidFill>
          </w14:textFill>
        </w:rPr>
      </w:pPr>
    </w:p>
    <w:p>
      <w:pPr>
        <w:spacing w:line="460" w:lineRule="exact"/>
        <w:ind w:firstLine="882" w:firstLineChars="315"/>
        <w:jc w:val="left"/>
        <w:rPr>
          <w:rFonts w:eastAsia="仿宋_GB2312"/>
          <w:color w:val="000000" w:themeColor="text1"/>
          <w:sz w:val="28"/>
          <w:szCs w:val="28"/>
          <w14:textFill>
            <w14:solidFill>
              <w14:schemeClr w14:val="tx1"/>
            </w14:solidFill>
          </w14:textFill>
        </w:rPr>
        <w:sectPr>
          <w:pgSz w:w="16838" w:h="11906" w:orient="landscape"/>
          <w:pgMar w:top="1531" w:right="1418" w:bottom="1531" w:left="1418" w:header="709" w:footer="1361" w:gutter="0"/>
          <w:cols w:space="720" w:num="1"/>
          <w:docGrid w:linePitch="312" w:charSpace="0"/>
        </w:sectPr>
      </w:pPr>
    </w:p>
    <w:p>
      <w:pPr>
        <w:spacing w:line="460" w:lineRule="exact"/>
        <w:ind w:firstLine="882" w:firstLineChars="315"/>
        <w:jc w:val="left"/>
        <w:rPr>
          <w:rFonts w:eastAsia="仿宋_GB2312"/>
          <w:color w:val="000000" w:themeColor="text1"/>
          <w:sz w:val="28"/>
          <w:szCs w:val="28"/>
          <w14:textFill>
            <w14:solidFill>
              <w14:schemeClr w14:val="tx1"/>
            </w14:solidFill>
          </w14:textFill>
        </w:rPr>
      </w:pPr>
      <w:bookmarkStart w:id="1" w:name="_GoBack"/>
      <w:bookmarkEnd w:id="1"/>
    </w:p>
    <w:sectPr>
      <w:pgSz w:w="11906" w:h="16838"/>
      <w:pgMar w:top="2098" w:right="1531" w:bottom="1985" w:left="1531" w:header="709" w:footer="136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楷体_GBK">
    <w:altName w:val="Arial Unicode MS"/>
    <w:panose1 w:val="00000000000000000000"/>
    <w:charset w:val="86"/>
    <w:family w:val="script"/>
    <w:pitch w:val="default"/>
    <w:sig w:usb0="00000000" w:usb1="00000000" w:usb2="00000010" w:usb3="00000000" w:csb0="00040000" w:csb1="00000000"/>
  </w:font>
  <w:font w:name="方正小标宋_GBK">
    <w:panose1 w:val="02000000000000000000"/>
    <w:charset w:val="86"/>
    <w:family w:val="script"/>
    <w:pitch w:val="default"/>
    <w:sig w:usb0="00000001" w:usb1="080E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汉鼎简黑体">
    <w:altName w:val="宋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8598208"/>
      <w:docPartObj>
        <w:docPartGallery w:val="autotext"/>
      </w:docPartObj>
    </w:sdtPr>
    <w:sdtEndPr>
      <w:rPr>
        <w:sz w:val="28"/>
        <w:szCs w:val="28"/>
      </w:rPr>
    </w:sdtEndPr>
    <w:sdtContent>
      <w:p>
        <w:pPr>
          <w:pStyle w:val="12"/>
          <w:ind w:firstLine="280"/>
          <w:rPr>
            <w:rFonts w:ascii="宋体" w:hAnsi="宋体"/>
            <w:sz w:val="28"/>
            <w:szCs w:val="28"/>
          </w:rPr>
        </w:pP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20</w:t>
        </w:r>
        <w:r>
          <w:rPr>
            <w:sz w:val="28"/>
            <w:szCs w:val="28"/>
          </w:rPr>
          <w:fldChar w:fldCharType="end"/>
        </w:r>
        <w:r>
          <w:rPr>
            <w:rFonts w:hint="eastAsia"/>
            <w:sz w:val="28"/>
            <w:szCs w:val="28"/>
          </w:rPr>
          <w:t xml:space="preserve"> —</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yOTFlYWZkYTJiNzZjOGRlYjI2YjUyNjA5NWE3YzMifQ=="/>
  </w:docVars>
  <w:rsids>
    <w:rsidRoot w:val="009362AD"/>
    <w:rsid w:val="0001546A"/>
    <w:rsid w:val="00017563"/>
    <w:rsid w:val="00020710"/>
    <w:rsid w:val="000418AF"/>
    <w:rsid w:val="00054E53"/>
    <w:rsid w:val="00064CFB"/>
    <w:rsid w:val="0007420E"/>
    <w:rsid w:val="00081079"/>
    <w:rsid w:val="00093009"/>
    <w:rsid w:val="0009336B"/>
    <w:rsid w:val="000A05FF"/>
    <w:rsid w:val="000B0BC7"/>
    <w:rsid w:val="000D1243"/>
    <w:rsid w:val="000D3C50"/>
    <w:rsid w:val="000D3D21"/>
    <w:rsid w:val="000E2BEF"/>
    <w:rsid w:val="000F3462"/>
    <w:rsid w:val="000F761A"/>
    <w:rsid w:val="00116EFE"/>
    <w:rsid w:val="00116F53"/>
    <w:rsid w:val="0011715B"/>
    <w:rsid w:val="0012090D"/>
    <w:rsid w:val="0012255B"/>
    <w:rsid w:val="00130479"/>
    <w:rsid w:val="0013783B"/>
    <w:rsid w:val="00154D70"/>
    <w:rsid w:val="001656A6"/>
    <w:rsid w:val="00172619"/>
    <w:rsid w:val="00173A21"/>
    <w:rsid w:val="001825D8"/>
    <w:rsid w:val="001A4C04"/>
    <w:rsid w:val="001B02BD"/>
    <w:rsid w:val="001B6B15"/>
    <w:rsid w:val="001C146B"/>
    <w:rsid w:val="001C5D2D"/>
    <w:rsid w:val="001D0A3C"/>
    <w:rsid w:val="001D0F76"/>
    <w:rsid w:val="001D51BD"/>
    <w:rsid w:val="001E2C04"/>
    <w:rsid w:val="001F5339"/>
    <w:rsid w:val="00217626"/>
    <w:rsid w:val="0022089B"/>
    <w:rsid w:val="00231480"/>
    <w:rsid w:val="002322EF"/>
    <w:rsid w:val="00235DAF"/>
    <w:rsid w:val="002451A7"/>
    <w:rsid w:val="00247AF8"/>
    <w:rsid w:val="002501C2"/>
    <w:rsid w:val="002852A1"/>
    <w:rsid w:val="00290D53"/>
    <w:rsid w:val="00293D1B"/>
    <w:rsid w:val="002C7C26"/>
    <w:rsid w:val="002E18A8"/>
    <w:rsid w:val="002F31AB"/>
    <w:rsid w:val="00302EE7"/>
    <w:rsid w:val="00304709"/>
    <w:rsid w:val="00312F2E"/>
    <w:rsid w:val="00330026"/>
    <w:rsid w:val="00334F3D"/>
    <w:rsid w:val="003546C6"/>
    <w:rsid w:val="00356333"/>
    <w:rsid w:val="0035753B"/>
    <w:rsid w:val="0036312C"/>
    <w:rsid w:val="0036323E"/>
    <w:rsid w:val="0037296B"/>
    <w:rsid w:val="0038740E"/>
    <w:rsid w:val="00390EDC"/>
    <w:rsid w:val="003B39C9"/>
    <w:rsid w:val="003B70CF"/>
    <w:rsid w:val="003B77A4"/>
    <w:rsid w:val="003D3647"/>
    <w:rsid w:val="003D4ED3"/>
    <w:rsid w:val="003D5038"/>
    <w:rsid w:val="003E29B0"/>
    <w:rsid w:val="003F36FE"/>
    <w:rsid w:val="003F7DDA"/>
    <w:rsid w:val="004002D8"/>
    <w:rsid w:val="0040291D"/>
    <w:rsid w:val="004208F6"/>
    <w:rsid w:val="00426C9B"/>
    <w:rsid w:val="00442194"/>
    <w:rsid w:val="0044482C"/>
    <w:rsid w:val="004632E8"/>
    <w:rsid w:val="0046350E"/>
    <w:rsid w:val="0047201C"/>
    <w:rsid w:val="00473693"/>
    <w:rsid w:val="00475BE3"/>
    <w:rsid w:val="00482A35"/>
    <w:rsid w:val="004844DE"/>
    <w:rsid w:val="004946F6"/>
    <w:rsid w:val="00494731"/>
    <w:rsid w:val="00497003"/>
    <w:rsid w:val="004A2526"/>
    <w:rsid w:val="004B6F8A"/>
    <w:rsid w:val="004C255F"/>
    <w:rsid w:val="004D25FB"/>
    <w:rsid w:val="004D7F16"/>
    <w:rsid w:val="004D7F24"/>
    <w:rsid w:val="004E6D25"/>
    <w:rsid w:val="004F13F0"/>
    <w:rsid w:val="004F4CA3"/>
    <w:rsid w:val="004F7F26"/>
    <w:rsid w:val="00500A9E"/>
    <w:rsid w:val="005045C0"/>
    <w:rsid w:val="005170DD"/>
    <w:rsid w:val="0052766A"/>
    <w:rsid w:val="005330E3"/>
    <w:rsid w:val="005331CB"/>
    <w:rsid w:val="005371A5"/>
    <w:rsid w:val="005534A1"/>
    <w:rsid w:val="00565411"/>
    <w:rsid w:val="00571237"/>
    <w:rsid w:val="00587EE5"/>
    <w:rsid w:val="005A095A"/>
    <w:rsid w:val="005A677B"/>
    <w:rsid w:val="005B4739"/>
    <w:rsid w:val="005C0876"/>
    <w:rsid w:val="005C1D49"/>
    <w:rsid w:val="005C3619"/>
    <w:rsid w:val="005C5FC5"/>
    <w:rsid w:val="005C7A19"/>
    <w:rsid w:val="005D0CF0"/>
    <w:rsid w:val="005E11B5"/>
    <w:rsid w:val="005E2009"/>
    <w:rsid w:val="005F4FE6"/>
    <w:rsid w:val="00603DF6"/>
    <w:rsid w:val="006065EC"/>
    <w:rsid w:val="00624B95"/>
    <w:rsid w:val="00625095"/>
    <w:rsid w:val="0063177B"/>
    <w:rsid w:val="00631D6E"/>
    <w:rsid w:val="006334C6"/>
    <w:rsid w:val="0063390C"/>
    <w:rsid w:val="0064537C"/>
    <w:rsid w:val="00655FF0"/>
    <w:rsid w:val="0065756D"/>
    <w:rsid w:val="00663D46"/>
    <w:rsid w:val="00665827"/>
    <w:rsid w:val="006675C4"/>
    <w:rsid w:val="00670586"/>
    <w:rsid w:val="00686C46"/>
    <w:rsid w:val="00687812"/>
    <w:rsid w:val="006944D6"/>
    <w:rsid w:val="006A03B3"/>
    <w:rsid w:val="006B374C"/>
    <w:rsid w:val="006B6FDC"/>
    <w:rsid w:val="006E040F"/>
    <w:rsid w:val="006E3418"/>
    <w:rsid w:val="006E5E5E"/>
    <w:rsid w:val="00710A24"/>
    <w:rsid w:val="007262AF"/>
    <w:rsid w:val="00740075"/>
    <w:rsid w:val="0075018D"/>
    <w:rsid w:val="0075781A"/>
    <w:rsid w:val="00760303"/>
    <w:rsid w:val="00771739"/>
    <w:rsid w:val="00774C66"/>
    <w:rsid w:val="00795248"/>
    <w:rsid w:val="00796834"/>
    <w:rsid w:val="007A62DE"/>
    <w:rsid w:val="007B5680"/>
    <w:rsid w:val="007F59EB"/>
    <w:rsid w:val="008112E6"/>
    <w:rsid w:val="00813FC7"/>
    <w:rsid w:val="00814737"/>
    <w:rsid w:val="00816154"/>
    <w:rsid w:val="00825F9A"/>
    <w:rsid w:val="0083510C"/>
    <w:rsid w:val="00837BB3"/>
    <w:rsid w:val="008439F6"/>
    <w:rsid w:val="00846386"/>
    <w:rsid w:val="00855CF8"/>
    <w:rsid w:val="00860F95"/>
    <w:rsid w:val="00873E93"/>
    <w:rsid w:val="008778B4"/>
    <w:rsid w:val="00884163"/>
    <w:rsid w:val="008901A3"/>
    <w:rsid w:val="00894DED"/>
    <w:rsid w:val="00895805"/>
    <w:rsid w:val="008A1667"/>
    <w:rsid w:val="008A43DC"/>
    <w:rsid w:val="008B1D62"/>
    <w:rsid w:val="008E2AF2"/>
    <w:rsid w:val="008E7724"/>
    <w:rsid w:val="008E7A32"/>
    <w:rsid w:val="008F017B"/>
    <w:rsid w:val="008F2D99"/>
    <w:rsid w:val="00902B2B"/>
    <w:rsid w:val="009130BA"/>
    <w:rsid w:val="00921C19"/>
    <w:rsid w:val="0092572F"/>
    <w:rsid w:val="009278F9"/>
    <w:rsid w:val="00930E79"/>
    <w:rsid w:val="00935420"/>
    <w:rsid w:val="009362AD"/>
    <w:rsid w:val="00946775"/>
    <w:rsid w:val="00951054"/>
    <w:rsid w:val="0097139B"/>
    <w:rsid w:val="0097628D"/>
    <w:rsid w:val="00977462"/>
    <w:rsid w:val="009819BE"/>
    <w:rsid w:val="00982A1F"/>
    <w:rsid w:val="00983F32"/>
    <w:rsid w:val="0099060A"/>
    <w:rsid w:val="00997BAD"/>
    <w:rsid w:val="00997FB2"/>
    <w:rsid w:val="009A6799"/>
    <w:rsid w:val="009B4541"/>
    <w:rsid w:val="009C5B49"/>
    <w:rsid w:val="009E5F32"/>
    <w:rsid w:val="009E70AC"/>
    <w:rsid w:val="009F0ED5"/>
    <w:rsid w:val="009F1605"/>
    <w:rsid w:val="009F3B66"/>
    <w:rsid w:val="009F6695"/>
    <w:rsid w:val="00A04F2B"/>
    <w:rsid w:val="00A05D9E"/>
    <w:rsid w:val="00A137EA"/>
    <w:rsid w:val="00A141D3"/>
    <w:rsid w:val="00A16B42"/>
    <w:rsid w:val="00A20B0F"/>
    <w:rsid w:val="00A37172"/>
    <w:rsid w:val="00A37D6F"/>
    <w:rsid w:val="00A43440"/>
    <w:rsid w:val="00A45917"/>
    <w:rsid w:val="00A46602"/>
    <w:rsid w:val="00A50B89"/>
    <w:rsid w:val="00A6533A"/>
    <w:rsid w:val="00A70F49"/>
    <w:rsid w:val="00A837E1"/>
    <w:rsid w:val="00A912B1"/>
    <w:rsid w:val="00AA4497"/>
    <w:rsid w:val="00AB4378"/>
    <w:rsid w:val="00AE02B5"/>
    <w:rsid w:val="00AF2A06"/>
    <w:rsid w:val="00AF4897"/>
    <w:rsid w:val="00B0753F"/>
    <w:rsid w:val="00B16570"/>
    <w:rsid w:val="00B224EF"/>
    <w:rsid w:val="00B41E2F"/>
    <w:rsid w:val="00B43539"/>
    <w:rsid w:val="00B55048"/>
    <w:rsid w:val="00B55787"/>
    <w:rsid w:val="00B62738"/>
    <w:rsid w:val="00B669BA"/>
    <w:rsid w:val="00B66C94"/>
    <w:rsid w:val="00B70BBE"/>
    <w:rsid w:val="00B77483"/>
    <w:rsid w:val="00B80DE5"/>
    <w:rsid w:val="00B82868"/>
    <w:rsid w:val="00B85A43"/>
    <w:rsid w:val="00B931B7"/>
    <w:rsid w:val="00B93A90"/>
    <w:rsid w:val="00BA6DEC"/>
    <w:rsid w:val="00BB2D26"/>
    <w:rsid w:val="00BB6B7B"/>
    <w:rsid w:val="00BC017D"/>
    <w:rsid w:val="00BC1AE1"/>
    <w:rsid w:val="00BE2B1E"/>
    <w:rsid w:val="00BE4715"/>
    <w:rsid w:val="00C26CD1"/>
    <w:rsid w:val="00C4180F"/>
    <w:rsid w:val="00C452D3"/>
    <w:rsid w:val="00C47C5C"/>
    <w:rsid w:val="00C56AC7"/>
    <w:rsid w:val="00C71257"/>
    <w:rsid w:val="00C71CA1"/>
    <w:rsid w:val="00C7300E"/>
    <w:rsid w:val="00C80EC8"/>
    <w:rsid w:val="00C85574"/>
    <w:rsid w:val="00C86995"/>
    <w:rsid w:val="00CA2462"/>
    <w:rsid w:val="00CC26E6"/>
    <w:rsid w:val="00CC7FA5"/>
    <w:rsid w:val="00CD4B97"/>
    <w:rsid w:val="00CE024A"/>
    <w:rsid w:val="00CE2249"/>
    <w:rsid w:val="00D0168F"/>
    <w:rsid w:val="00D057EC"/>
    <w:rsid w:val="00D100DF"/>
    <w:rsid w:val="00D145E3"/>
    <w:rsid w:val="00D21EE8"/>
    <w:rsid w:val="00D25005"/>
    <w:rsid w:val="00D31BFE"/>
    <w:rsid w:val="00D345EE"/>
    <w:rsid w:val="00D37962"/>
    <w:rsid w:val="00D44A7F"/>
    <w:rsid w:val="00D456A5"/>
    <w:rsid w:val="00D541C0"/>
    <w:rsid w:val="00D7031C"/>
    <w:rsid w:val="00D93564"/>
    <w:rsid w:val="00DA0D2E"/>
    <w:rsid w:val="00DA70F2"/>
    <w:rsid w:val="00DB068F"/>
    <w:rsid w:val="00E17F14"/>
    <w:rsid w:val="00E21170"/>
    <w:rsid w:val="00E2681E"/>
    <w:rsid w:val="00E43104"/>
    <w:rsid w:val="00E60AEE"/>
    <w:rsid w:val="00E61DE1"/>
    <w:rsid w:val="00E6218C"/>
    <w:rsid w:val="00E6684D"/>
    <w:rsid w:val="00E7657F"/>
    <w:rsid w:val="00E80208"/>
    <w:rsid w:val="00E841B2"/>
    <w:rsid w:val="00E86AD8"/>
    <w:rsid w:val="00E86DA5"/>
    <w:rsid w:val="00E91168"/>
    <w:rsid w:val="00E96C19"/>
    <w:rsid w:val="00EA3653"/>
    <w:rsid w:val="00EC1018"/>
    <w:rsid w:val="00ED04BE"/>
    <w:rsid w:val="00ED6423"/>
    <w:rsid w:val="00EE7676"/>
    <w:rsid w:val="00EF0F6D"/>
    <w:rsid w:val="00F028EE"/>
    <w:rsid w:val="00F25A28"/>
    <w:rsid w:val="00F41BC0"/>
    <w:rsid w:val="00F42CBD"/>
    <w:rsid w:val="00F43171"/>
    <w:rsid w:val="00F54F78"/>
    <w:rsid w:val="00F66DA4"/>
    <w:rsid w:val="00F7574F"/>
    <w:rsid w:val="00F86883"/>
    <w:rsid w:val="00F92AE9"/>
    <w:rsid w:val="00F94517"/>
    <w:rsid w:val="00FB3B49"/>
    <w:rsid w:val="00FF1817"/>
    <w:rsid w:val="00FF216D"/>
    <w:rsid w:val="00FF4370"/>
    <w:rsid w:val="1BE045E6"/>
    <w:rsid w:val="1DF75E3E"/>
    <w:rsid w:val="2E793C17"/>
    <w:rsid w:val="4CA706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9" w:semiHidden="0" w:name="heading 1"/>
    <w:lsdException w:qFormat="1"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99"/>
    <w:pPr>
      <w:keepNext/>
      <w:keepLines/>
      <w:autoSpaceDE w:val="0"/>
      <w:autoSpaceDN w:val="0"/>
      <w:snapToGrid w:val="0"/>
      <w:spacing w:before="340" w:after="330" w:line="578" w:lineRule="atLeast"/>
      <w:ind w:firstLine="624"/>
      <w:outlineLvl w:val="0"/>
    </w:pPr>
    <w:rPr>
      <w:rFonts w:ascii="方正仿宋_GBK" w:eastAsia="方正仿宋_GBK"/>
      <w:b/>
      <w:snapToGrid w:val="0"/>
      <w:kern w:val="44"/>
      <w:sz w:val="44"/>
      <w:szCs w:val="20"/>
    </w:rPr>
  </w:style>
  <w:style w:type="paragraph" w:styleId="3">
    <w:name w:val="heading 2"/>
    <w:basedOn w:val="1"/>
    <w:next w:val="1"/>
    <w:link w:val="71"/>
    <w:qFormat/>
    <w:uiPriority w:val="0"/>
    <w:pPr>
      <w:keepNext/>
      <w:keepLines/>
      <w:spacing w:before="260" w:after="260" w:line="415" w:lineRule="auto"/>
      <w:outlineLvl w:val="1"/>
    </w:pPr>
    <w:rPr>
      <w:rFonts w:ascii="等线 Light" w:eastAsia="等线 Light" w:cs="Mongolian Baiti"/>
      <w:b/>
      <w:bCs/>
      <w:sz w:val="32"/>
      <w:szCs w:val="32"/>
    </w:rPr>
  </w:style>
  <w:style w:type="paragraph" w:styleId="4">
    <w:name w:val="heading 3"/>
    <w:basedOn w:val="1"/>
    <w:next w:val="1"/>
    <w:uiPriority w:val="0"/>
    <w:pPr>
      <w:keepNext/>
      <w:keepLines/>
      <w:widowControl/>
      <w:spacing w:before="200" w:line="276" w:lineRule="auto"/>
      <w:jc w:val="left"/>
      <w:outlineLvl w:val="2"/>
    </w:pPr>
    <w:rPr>
      <w:rFonts w:ascii="等线 Light" w:eastAsia="等线 Light" w:cs="Mongolian Baiti"/>
      <w:b/>
      <w:bCs/>
      <w:color w:val="5B9BD5"/>
      <w:kern w:val="0"/>
      <w:sz w:val="22"/>
      <w:szCs w:val="2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uiPriority w:val="0"/>
    <w:pPr>
      <w:autoSpaceDE w:val="0"/>
      <w:autoSpaceDN w:val="0"/>
      <w:adjustRightInd w:val="0"/>
      <w:spacing w:line="590" w:lineRule="atLeast"/>
      <w:jc w:val="left"/>
    </w:pPr>
    <w:rPr>
      <w:rFonts w:eastAsia="方正仿宋_GBK"/>
      <w:snapToGrid w:val="0"/>
      <w:spacing w:val="-25"/>
      <w:kern w:val="0"/>
      <w:sz w:val="32"/>
      <w:szCs w:val="20"/>
    </w:rPr>
  </w:style>
  <w:style w:type="paragraph" w:styleId="6">
    <w:name w:val="annotation text"/>
    <w:basedOn w:val="1"/>
    <w:uiPriority w:val="0"/>
    <w:pPr>
      <w:autoSpaceDE w:val="0"/>
      <w:autoSpaceDN w:val="0"/>
      <w:snapToGrid w:val="0"/>
      <w:spacing w:line="590" w:lineRule="atLeast"/>
      <w:ind w:firstLine="624"/>
      <w:jc w:val="left"/>
    </w:pPr>
    <w:rPr>
      <w:rFonts w:eastAsia="方正仿宋_GBK"/>
      <w:kern w:val="0"/>
      <w:sz w:val="32"/>
      <w:szCs w:val="32"/>
    </w:rPr>
  </w:style>
  <w:style w:type="paragraph" w:styleId="7">
    <w:name w:val="Body Text"/>
    <w:basedOn w:val="1"/>
    <w:link w:val="76"/>
    <w:qFormat/>
    <w:uiPriority w:val="0"/>
    <w:pPr>
      <w:spacing w:after="120"/>
    </w:pPr>
  </w:style>
  <w:style w:type="paragraph" w:styleId="8">
    <w:name w:val="Body Text Indent"/>
    <w:basedOn w:val="1"/>
    <w:uiPriority w:val="0"/>
    <w:pPr>
      <w:tabs>
        <w:tab w:val="left" w:pos="180"/>
      </w:tabs>
      <w:ind w:firstLine="200" w:firstLineChars="200"/>
    </w:pPr>
    <w:rPr>
      <w:rFonts w:ascii="仿宋_GB2312" w:eastAsia="仿宋_GB2312"/>
      <w:color w:val="000000"/>
      <w:kern w:val="0"/>
      <w:sz w:val="32"/>
      <w:szCs w:val="30"/>
    </w:rPr>
  </w:style>
  <w:style w:type="paragraph" w:styleId="9">
    <w:name w:val="Plain Text"/>
    <w:basedOn w:val="1"/>
    <w:qFormat/>
    <w:uiPriority w:val="0"/>
    <w:rPr>
      <w:rFonts w:ascii="宋体"/>
      <w:szCs w:val="21"/>
    </w:rPr>
  </w:style>
  <w:style w:type="paragraph" w:styleId="10">
    <w:name w:val="Date"/>
    <w:basedOn w:val="1"/>
    <w:next w:val="1"/>
    <w:link w:val="75"/>
    <w:qFormat/>
    <w:uiPriority w:val="0"/>
    <w:pPr>
      <w:ind w:left="2500" w:leftChars="2500"/>
    </w:pPr>
  </w:style>
  <w:style w:type="paragraph" w:styleId="11">
    <w:name w:val="Balloon Text"/>
    <w:basedOn w:val="1"/>
    <w:qFormat/>
    <w:uiPriority w:val="0"/>
    <w:rPr>
      <w:sz w:val="18"/>
      <w:szCs w:val="18"/>
    </w:rPr>
  </w:style>
  <w:style w:type="paragraph" w:styleId="12">
    <w:name w:val="footer"/>
    <w:basedOn w:val="1"/>
    <w:link w:val="69"/>
    <w:qFormat/>
    <w:uiPriority w:val="99"/>
    <w:pPr>
      <w:tabs>
        <w:tab w:val="center" w:pos="4153"/>
        <w:tab w:val="right" w:pos="8306"/>
      </w:tabs>
      <w:snapToGrid w:val="0"/>
      <w:jc w:val="left"/>
    </w:pPr>
    <w:rPr>
      <w:sz w:val="18"/>
      <w:szCs w:val="18"/>
    </w:rPr>
  </w:style>
  <w:style w:type="paragraph" w:styleId="13">
    <w:name w:val="header"/>
    <w:basedOn w:val="1"/>
    <w:link w:val="72"/>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5">
    <w:name w:val="toc 2"/>
    <w:basedOn w:val="1"/>
    <w:next w:val="1"/>
    <w:qFormat/>
    <w:uiPriority w:val="0"/>
    <w:pPr>
      <w:ind w:left="200" w:leftChars="200"/>
    </w:pPr>
    <w:rPr>
      <w:rFonts w:ascii="Calibri" w:hAnsi="Calibri"/>
      <w:lang w:bidi="mn-Mong-CN"/>
    </w:rPr>
  </w:style>
  <w:style w:type="paragraph" w:styleId="16">
    <w:name w:val="Normal (Web)"/>
    <w:basedOn w:val="1"/>
    <w:qFormat/>
    <w:uiPriority w:val="99"/>
    <w:pPr>
      <w:widowControl/>
      <w:jc w:val="left"/>
    </w:pPr>
    <w:rPr>
      <w:rFonts w:ascii="宋体" w:cs="宋体"/>
      <w:kern w:val="0"/>
      <w:sz w:val="24"/>
    </w:rPr>
  </w:style>
  <w:style w:type="paragraph" w:styleId="17">
    <w:name w:val="Title"/>
    <w:basedOn w:val="1"/>
    <w:next w:val="1"/>
    <w:link w:val="73"/>
    <w:qFormat/>
    <w:uiPriority w:val="0"/>
    <w:pPr>
      <w:spacing w:before="240" w:after="60"/>
      <w:jc w:val="center"/>
      <w:outlineLvl w:val="0"/>
    </w:pPr>
    <w:rPr>
      <w:rFonts w:ascii="Cambria" w:hAnsi="Cambria"/>
      <w:b/>
      <w:bCs/>
      <w:sz w:val="32"/>
      <w:szCs w:val="32"/>
    </w:rPr>
  </w:style>
  <w:style w:type="paragraph" w:styleId="18">
    <w:name w:val="Body Text First Indent"/>
    <w:basedOn w:val="7"/>
    <w:uiPriority w:val="0"/>
    <w:pPr>
      <w:ind w:firstLine="420"/>
    </w:pPr>
  </w:style>
  <w:style w:type="paragraph" w:styleId="19">
    <w:name w:val="Body Text First Indent 2"/>
    <w:basedOn w:val="8"/>
    <w:uiPriority w:val="0"/>
    <w:pPr>
      <w:tabs>
        <w:tab w:val="clear" w:pos="180"/>
      </w:tabs>
      <w:spacing w:after="120"/>
      <w:ind w:left="420" w:firstLine="420" w:firstLineChars="0"/>
    </w:pPr>
    <w:rPr>
      <w:rFonts w:ascii="Times New Roman" w:eastAsia="宋体"/>
      <w:color w:val="auto"/>
      <w:kern w:val="2"/>
      <w:sz w:val="21"/>
      <w:szCs w:val="24"/>
    </w:rPr>
  </w:style>
  <w:style w:type="table" w:styleId="21">
    <w:name w:val="Table Grid"/>
    <w:basedOn w:val="20"/>
    <w:qFormat/>
    <w:uiPriority w:val="59"/>
    <w:pPr>
      <w:jc w:val="both"/>
    </w:pPr>
    <w:rPr>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3">
    <w:name w:val="Strong"/>
    <w:qFormat/>
    <w:uiPriority w:val="22"/>
    <w:rPr>
      <w:rFonts w:cs="Times New Roman"/>
      <w:b/>
      <w:bCs/>
    </w:rPr>
  </w:style>
  <w:style w:type="character" w:styleId="24">
    <w:name w:val="page number"/>
    <w:qFormat/>
    <w:uiPriority w:val="0"/>
  </w:style>
  <w:style w:type="character" w:styleId="25">
    <w:name w:val="Hyperlink"/>
    <w:qFormat/>
    <w:uiPriority w:val="0"/>
    <w:rPr>
      <w:color w:val="0000FF"/>
      <w:u w:val="single"/>
    </w:rPr>
  </w:style>
  <w:style w:type="character" w:customStyle="1" w:styleId="26">
    <w:name w:val="apple-converted-space"/>
    <w:qFormat/>
    <w:uiPriority w:val="0"/>
    <w:rPr>
      <w:rFonts w:cs="Times New Roman"/>
    </w:rPr>
  </w:style>
  <w:style w:type="character" w:customStyle="1" w:styleId="27">
    <w:name w:val="font14 line-height"/>
    <w:qFormat/>
    <w:uiPriority w:val="0"/>
    <w:rPr>
      <w:rFonts w:cs="Times New Roman"/>
    </w:rPr>
  </w:style>
  <w:style w:type="character" w:customStyle="1" w:styleId="28">
    <w:name w:val="eee"/>
    <w:qFormat/>
    <w:uiPriority w:val="0"/>
  </w:style>
  <w:style w:type="paragraph" w:customStyle="1" w:styleId="29">
    <w:name w:val="标题2"/>
    <w:basedOn w:val="1"/>
    <w:next w:val="1"/>
    <w:qFormat/>
    <w:uiPriority w:val="0"/>
    <w:pPr>
      <w:autoSpaceDE w:val="0"/>
      <w:autoSpaceDN w:val="0"/>
      <w:snapToGrid w:val="0"/>
      <w:spacing w:line="590" w:lineRule="atLeast"/>
      <w:jc w:val="center"/>
    </w:pPr>
    <w:rPr>
      <w:rFonts w:eastAsia="方正楷体_GBK"/>
      <w:snapToGrid w:val="0"/>
      <w:kern w:val="0"/>
      <w:sz w:val="32"/>
      <w:szCs w:val="20"/>
    </w:rPr>
  </w:style>
  <w:style w:type="paragraph" w:customStyle="1" w:styleId="30">
    <w:name w:val="列出段落1"/>
    <w:basedOn w:val="1"/>
    <w:qFormat/>
    <w:uiPriority w:val="99"/>
    <w:pPr>
      <w:ind w:firstLine="200" w:firstLineChars="200"/>
    </w:pPr>
    <w:rPr>
      <w:rFonts w:ascii="Calibri" w:hAnsi="Calibri"/>
      <w:szCs w:val="22"/>
    </w:rPr>
  </w:style>
  <w:style w:type="paragraph" w:customStyle="1" w:styleId="31">
    <w:name w:val="抄送栏"/>
    <w:basedOn w:val="1"/>
    <w:qFormat/>
    <w:uiPriority w:val="0"/>
    <w:pPr>
      <w:autoSpaceDE w:val="0"/>
      <w:autoSpaceDN w:val="0"/>
      <w:adjustRightInd w:val="0"/>
      <w:spacing w:line="454" w:lineRule="exact"/>
      <w:ind w:left="1308" w:right="357" w:hanging="953"/>
    </w:pPr>
    <w:rPr>
      <w:rFonts w:eastAsia="方正仿宋_GBK"/>
      <w:snapToGrid w:val="0"/>
      <w:kern w:val="0"/>
      <w:sz w:val="32"/>
      <w:szCs w:val="20"/>
    </w:rPr>
  </w:style>
  <w:style w:type="paragraph" w:customStyle="1" w:styleId="32">
    <w:name w:val="线型"/>
    <w:basedOn w:val="31"/>
    <w:qFormat/>
    <w:uiPriority w:val="0"/>
    <w:pPr>
      <w:spacing w:line="240" w:lineRule="auto"/>
      <w:ind w:left="0" w:firstLine="0"/>
      <w:jc w:val="center"/>
    </w:pPr>
    <w:rPr>
      <w:sz w:val="21"/>
    </w:rPr>
  </w:style>
  <w:style w:type="paragraph" w:customStyle="1" w:styleId="3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4">
    <w:name w:val="List Paragraph"/>
    <w:basedOn w:val="1"/>
    <w:qFormat/>
    <w:uiPriority w:val="34"/>
    <w:pPr>
      <w:ind w:firstLine="200" w:firstLineChars="200"/>
    </w:pPr>
    <w:rPr>
      <w:szCs w:val="20"/>
    </w:rPr>
  </w:style>
  <w:style w:type="paragraph" w:customStyle="1" w:styleId="35">
    <w:name w:val="List Paragraph1"/>
    <w:basedOn w:val="1"/>
    <w:qFormat/>
    <w:uiPriority w:val="0"/>
    <w:pPr>
      <w:ind w:firstLine="200" w:firstLineChars="200"/>
    </w:pPr>
    <w:rPr>
      <w:rFonts w:ascii="宋体"/>
      <w:sz w:val="32"/>
    </w:rPr>
  </w:style>
  <w:style w:type="paragraph" w:customStyle="1" w:styleId="3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szCs w:val="20"/>
    </w:rPr>
  </w:style>
  <w:style w:type="paragraph" w:customStyle="1" w:styleId="37">
    <w:name w:val="标题3"/>
    <w:basedOn w:val="1"/>
    <w:next w:val="1"/>
    <w:qFormat/>
    <w:uiPriority w:val="0"/>
    <w:pPr>
      <w:autoSpaceDE w:val="0"/>
      <w:autoSpaceDN w:val="0"/>
      <w:snapToGrid w:val="0"/>
      <w:spacing w:line="590" w:lineRule="atLeast"/>
      <w:ind w:firstLine="624"/>
    </w:pPr>
    <w:rPr>
      <w:rFonts w:eastAsia="方正黑体_GBK"/>
      <w:snapToGrid w:val="0"/>
      <w:kern w:val="0"/>
      <w:sz w:val="32"/>
      <w:szCs w:val="20"/>
    </w:rPr>
  </w:style>
  <w:style w:type="paragraph" w:customStyle="1" w:styleId="38">
    <w:name w:val="文头"/>
    <w:basedOn w:val="32"/>
    <w:qFormat/>
    <w:uiPriority w:val="0"/>
  </w:style>
  <w:style w:type="paragraph" w:customStyle="1" w:styleId="39">
    <w:name w:val="列出段落3"/>
    <w:basedOn w:val="1"/>
    <w:qFormat/>
    <w:uiPriority w:val="0"/>
    <w:pPr>
      <w:ind w:firstLine="200" w:firstLineChars="200"/>
    </w:pPr>
    <w:rPr>
      <w:rFonts w:ascii="Calibri" w:hAnsi="Calibri"/>
      <w:szCs w:val="20"/>
    </w:rPr>
  </w:style>
  <w:style w:type="paragraph" w:customStyle="1" w:styleId="40">
    <w:name w:val="附件栏"/>
    <w:basedOn w:val="1"/>
    <w:qFormat/>
    <w:uiPriority w:val="0"/>
    <w:pPr>
      <w:autoSpaceDE w:val="0"/>
      <w:autoSpaceDN w:val="0"/>
      <w:snapToGrid w:val="0"/>
      <w:spacing w:line="590" w:lineRule="atLeast"/>
      <w:ind w:firstLine="624"/>
    </w:pPr>
    <w:rPr>
      <w:rFonts w:eastAsia="方正仿宋_GBK"/>
      <w:snapToGrid w:val="0"/>
      <w:kern w:val="0"/>
      <w:sz w:val="32"/>
      <w:szCs w:val="20"/>
    </w:rPr>
  </w:style>
  <w:style w:type="paragraph" w:customStyle="1" w:styleId="41">
    <w:name w:val="红线"/>
    <w:basedOn w:val="2"/>
    <w:qFormat/>
    <w:uiPriority w:val="0"/>
    <w:pPr>
      <w:keepNext w:val="0"/>
      <w:keepLines w:val="0"/>
      <w:adjustRightInd w:val="0"/>
      <w:snapToGrid/>
      <w:spacing w:before="0" w:after="851" w:line="227" w:lineRule="atLeast"/>
      <w:ind w:right="-142" w:firstLine="0"/>
      <w:jc w:val="center"/>
      <w:outlineLvl w:val="9"/>
    </w:pPr>
    <w:rPr>
      <w:rFonts w:ascii="宋体" w:eastAsia="宋体"/>
      <w:kern w:val="0"/>
      <w:sz w:val="10"/>
    </w:rPr>
  </w:style>
  <w:style w:type="paragraph" w:customStyle="1" w:styleId="42">
    <w:name w:val="主题词"/>
    <w:basedOn w:val="1"/>
    <w:qFormat/>
    <w:uiPriority w:val="0"/>
    <w:pPr>
      <w:autoSpaceDE w:val="0"/>
      <w:autoSpaceDN w:val="0"/>
      <w:adjustRightInd w:val="0"/>
      <w:spacing w:line="240" w:lineRule="atLeast"/>
      <w:jc w:val="left"/>
    </w:pPr>
    <w:rPr>
      <w:rFonts w:ascii="方正黑体_GBK" w:eastAsia="方正黑体_GBK"/>
      <w:snapToGrid w:val="0"/>
      <w:kern w:val="0"/>
      <w:sz w:val="32"/>
      <w:szCs w:val="20"/>
    </w:rPr>
  </w:style>
  <w:style w:type="paragraph" w:customStyle="1" w:styleId="43">
    <w:name w:val="密级"/>
    <w:basedOn w:val="1"/>
    <w:qFormat/>
    <w:uiPriority w:val="0"/>
    <w:pPr>
      <w:autoSpaceDE w:val="0"/>
      <w:autoSpaceDN w:val="0"/>
      <w:adjustRightInd w:val="0"/>
      <w:snapToGrid w:val="0"/>
      <w:spacing w:line="425" w:lineRule="atLeast"/>
      <w:jc w:val="right"/>
    </w:pPr>
    <w:rPr>
      <w:rFonts w:ascii="黑体" w:eastAsia="黑体"/>
      <w:snapToGrid w:val="0"/>
      <w:kern w:val="0"/>
      <w:sz w:val="30"/>
      <w:szCs w:val="20"/>
    </w:rPr>
  </w:style>
  <w:style w:type="paragraph" w:customStyle="1" w:styleId="44">
    <w:name w:val="紧急程度"/>
    <w:basedOn w:val="43"/>
    <w:qFormat/>
    <w:uiPriority w:val="0"/>
    <w:pPr>
      <w:overflowPunct w:val="0"/>
      <w:spacing w:line="500" w:lineRule="atLeast"/>
    </w:pPr>
    <w:rPr>
      <w:rFonts w:ascii="汉鼎简黑体" w:eastAsia="汉鼎简黑体"/>
      <w:sz w:val="32"/>
    </w:rPr>
  </w:style>
  <w:style w:type="paragraph" w:customStyle="1" w:styleId="45">
    <w:name w:val="印发栏"/>
    <w:basedOn w:val="5"/>
    <w:qFormat/>
    <w:uiPriority w:val="0"/>
    <w:pPr>
      <w:tabs>
        <w:tab w:val="right" w:pos="8465"/>
      </w:tabs>
      <w:spacing w:line="454" w:lineRule="exact"/>
      <w:ind w:left="357" w:right="357"/>
    </w:pPr>
    <w:rPr>
      <w:spacing w:val="0"/>
    </w:rPr>
  </w:style>
  <w:style w:type="paragraph" w:customStyle="1" w:styleId="46">
    <w:name w:val="印数"/>
    <w:basedOn w:val="45"/>
    <w:qFormat/>
    <w:uiPriority w:val="0"/>
    <w:pPr>
      <w:spacing w:line="400" w:lineRule="exact"/>
      <w:ind w:left="0" w:right="0"/>
      <w:jc w:val="right"/>
    </w:pPr>
  </w:style>
  <w:style w:type="paragraph" w:customStyle="1" w:styleId="47">
    <w:name w:val="Table Paragraph"/>
    <w:basedOn w:val="1"/>
    <w:qFormat/>
    <w:uiPriority w:val="0"/>
    <w:rPr>
      <w:rFonts w:ascii="Calibri" w:hAnsi="Calibri"/>
      <w:szCs w:val="22"/>
    </w:rPr>
  </w:style>
  <w:style w:type="paragraph" w:customStyle="1" w:styleId="48">
    <w:name w:val="p0"/>
    <w:basedOn w:val="1"/>
    <w:qFormat/>
    <w:uiPriority w:val="0"/>
    <w:pPr>
      <w:widowControl/>
    </w:pPr>
    <w:rPr>
      <w:kern w:val="0"/>
      <w:szCs w:val="21"/>
    </w:rPr>
  </w:style>
  <w:style w:type="paragraph" w:customStyle="1" w:styleId="49">
    <w:name w:val="仿宋小4"/>
    <w:basedOn w:val="1"/>
    <w:qFormat/>
    <w:uiPriority w:val="0"/>
    <w:pPr>
      <w:spacing w:line="360" w:lineRule="auto"/>
      <w:jc w:val="left"/>
    </w:pPr>
    <w:rPr>
      <w:rFonts w:eastAsia="仿宋_GB2312"/>
      <w:color w:val="000000"/>
      <w:sz w:val="24"/>
      <w:szCs w:val="32"/>
    </w:rPr>
  </w:style>
  <w:style w:type="paragraph" w:customStyle="1" w:styleId="50">
    <w:name w:val="Other|1"/>
    <w:basedOn w:val="1"/>
    <w:qFormat/>
    <w:uiPriority w:val="0"/>
    <w:pPr>
      <w:spacing w:line="394" w:lineRule="auto"/>
      <w:ind w:firstLine="400"/>
      <w:jc w:val="left"/>
    </w:pPr>
    <w:rPr>
      <w:rFonts w:ascii="宋体" w:cs="宋体"/>
      <w:kern w:val="0"/>
      <w:sz w:val="30"/>
      <w:szCs w:val="30"/>
      <w:lang w:val="zh-TW" w:eastAsia="zh-TW" w:bidi="zh-TW"/>
    </w:rPr>
  </w:style>
  <w:style w:type="character" w:customStyle="1" w:styleId="51">
    <w:name w:val="页脚 Char1"/>
    <w:qFormat/>
    <w:uiPriority w:val="0"/>
    <w:rPr>
      <w:rFonts w:eastAsia="宋体"/>
      <w:kern w:val="2"/>
      <w:sz w:val="18"/>
      <w:szCs w:val="18"/>
      <w:lang w:val="en-US" w:eastAsia="zh-CN" w:bidi="ar-SA"/>
    </w:rPr>
  </w:style>
  <w:style w:type="paragraph" w:customStyle="1" w:styleId="52">
    <w:name w:val="列出段落2"/>
    <w:basedOn w:val="1"/>
    <w:qFormat/>
    <w:uiPriority w:val="0"/>
    <w:pPr>
      <w:widowControl/>
      <w:spacing w:after="200" w:line="276" w:lineRule="auto"/>
      <w:ind w:left="720"/>
      <w:contextualSpacing/>
      <w:jc w:val="left"/>
    </w:pPr>
    <w:rPr>
      <w:rFonts w:ascii="等线" w:eastAsia="等线" w:cs="Mongolian Baiti"/>
      <w:kern w:val="0"/>
      <w:sz w:val="22"/>
      <w:szCs w:val="22"/>
    </w:rPr>
  </w:style>
  <w:style w:type="character" w:customStyle="1" w:styleId="53">
    <w:name w:val="bjh-strong"/>
    <w:qFormat/>
    <w:uiPriority w:val="0"/>
  </w:style>
  <w:style w:type="paragraph" w:customStyle="1" w:styleId="54">
    <w:name w:val="正文首行缩进1"/>
    <w:qFormat/>
    <w:uiPriority w:val="0"/>
    <w:pPr>
      <w:spacing w:after="120"/>
      <w:ind w:firstLine="100" w:firstLineChars="100"/>
    </w:pPr>
    <w:rPr>
      <w:rFonts w:ascii="Calibri" w:hAnsi="Calibri" w:eastAsia="宋体" w:cs="Times New Roman"/>
      <w:lang w:val="en-US" w:eastAsia="zh-CN" w:bidi="ar-SA"/>
    </w:rPr>
  </w:style>
  <w:style w:type="paragraph" w:customStyle="1" w:styleId="55">
    <w:name w:val="_Style 56"/>
    <w:basedOn w:val="7"/>
    <w:next w:val="18"/>
    <w:qFormat/>
    <w:uiPriority w:val="0"/>
    <w:pPr>
      <w:ind w:firstLine="100" w:firstLineChars="100"/>
    </w:pPr>
  </w:style>
  <w:style w:type="character" w:customStyle="1" w:styleId="56">
    <w:name w:val="bjh-p"/>
    <w:basedOn w:val="22"/>
    <w:qFormat/>
    <w:uiPriority w:val="0"/>
  </w:style>
  <w:style w:type="paragraph" w:customStyle="1" w:styleId="57">
    <w:name w:val="font5"/>
    <w:basedOn w:val="1"/>
    <w:qFormat/>
    <w:uiPriority w:val="0"/>
    <w:pPr>
      <w:widowControl/>
      <w:spacing w:before="100" w:beforeAutospacing="1" w:after="100" w:afterAutospacing="1"/>
      <w:jc w:val="left"/>
    </w:pPr>
    <w:rPr>
      <w:rFonts w:ascii="宋体" w:cs="宋体"/>
      <w:kern w:val="0"/>
      <w:sz w:val="18"/>
      <w:szCs w:val="18"/>
    </w:rPr>
  </w:style>
  <w:style w:type="paragraph" w:customStyle="1" w:styleId="58">
    <w:name w:val="font6"/>
    <w:basedOn w:val="1"/>
    <w:qFormat/>
    <w:uiPriority w:val="0"/>
    <w:pPr>
      <w:widowControl/>
      <w:spacing w:before="100" w:beforeAutospacing="1" w:after="100" w:afterAutospacing="1"/>
      <w:jc w:val="left"/>
    </w:pPr>
    <w:rPr>
      <w:rFonts w:ascii="宋体" w:cs="宋体"/>
      <w:kern w:val="0"/>
      <w:sz w:val="18"/>
      <w:szCs w:val="18"/>
    </w:rPr>
  </w:style>
  <w:style w:type="paragraph" w:customStyle="1" w:styleId="59">
    <w:name w:val="xl6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宋体" w:cs="宋体"/>
      <w:b/>
      <w:bCs/>
      <w:kern w:val="0"/>
      <w:sz w:val="20"/>
      <w:szCs w:val="20"/>
    </w:rPr>
  </w:style>
  <w:style w:type="paragraph" w:customStyle="1" w:styleId="60">
    <w:name w:val="xl6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bottom"/>
    </w:pPr>
    <w:rPr>
      <w:rFonts w:ascii="Arial" w:hAnsi="Arial" w:cs="Arial"/>
      <w:b/>
      <w:bCs/>
      <w:kern w:val="0"/>
      <w:sz w:val="20"/>
      <w:szCs w:val="20"/>
    </w:rPr>
  </w:style>
  <w:style w:type="paragraph" w:customStyle="1" w:styleId="61">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宋体" w:cs="宋体"/>
      <w:kern w:val="0"/>
      <w:sz w:val="24"/>
    </w:rPr>
  </w:style>
  <w:style w:type="paragraph" w:customStyle="1" w:styleId="62">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bottom"/>
    </w:pPr>
    <w:rPr>
      <w:rFonts w:ascii="Arial" w:hAnsi="Arial" w:cs="Arial"/>
      <w:kern w:val="0"/>
      <w:sz w:val="20"/>
      <w:szCs w:val="20"/>
    </w:rPr>
  </w:style>
  <w:style w:type="paragraph" w:customStyle="1" w:styleId="6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64">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sz w:val="24"/>
    </w:rPr>
  </w:style>
  <w:style w:type="paragraph" w:customStyle="1" w:styleId="65">
    <w:name w:val="xl6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kern w:val="0"/>
      <w:sz w:val="24"/>
    </w:rPr>
  </w:style>
  <w:style w:type="paragraph" w:customStyle="1" w:styleId="66">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cs="宋体"/>
      <w:b/>
      <w:bCs/>
      <w:kern w:val="0"/>
      <w:sz w:val="24"/>
    </w:rPr>
  </w:style>
  <w:style w:type="paragraph" w:customStyle="1" w:styleId="67">
    <w:name w:val="xl7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cs="宋体"/>
      <w:b/>
      <w:bCs/>
      <w:kern w:val="0"/>
      <w:sz w:val="24"/>
    </w:rPr>
  </w:style>
  <w:style w:type="character" w:customStyle="1" w:styleId="68">
    <w:name w:val="不明显参考1"/>
    <w:basedOn w:val="22"/>
    <w:qFormat/>
    <w:uiPriority w:val="0"/>
    <w:rPr>
      <w:smallCaps/>
      <w:color w:val="C0504D"/>
      <w:u w:val="single"/>
    </w:rPr>
  </w:style>
  <w:style w:type="character" w:customStyle="1" w:styleId="69">
    <w:name w:val="页脚 Char"/>
    <w:basedOn w:val="22"/>
    <w:link w:val="12"/>
    <w:qFormat/>
    <w:uiPriority w:val="99"/>
    <w:rPr>
      <w:kern w:val="2"/>
      <w:sz w:val="18"/>
      <w:szCs w:val="18"/>
    </w:rPr>
  </w:style>
  <w:style w:type="character" w:customStyle="1" w:styleId="70">
    <w:name w:val="标题 1 Char"/>
    <w:link w:val="2"/>
    <w:qFormat/>
    <w:uiPriority w:val="99"/>
    <w:rPr>
      <w:rFonts w:ascii="方正仿宋_GBK" w:eastAsia="方正仿宋_GBK"/>
      <w:b/>
      <w:snapToGrid w:val="0"/>
      <w:kern w:val="44"/>
      <w:sz w:val="44"/>
    </w:rPr>
  </w:style>
  <w:style w:type="character" w:customStyle="1" w:styleId="71">
    <w:name w:val="标题 2 Char"/>
    <w:link w:val="3"/>
    <w:qFormat/>
    <w:uiPriority w:val="0"/>
    <w:rPr>
      <w:rFonts w:ascii="等线 Light" w:eastAsia="等线 Light" w:cs="Mongolian Baiti"/>
      <w:b/>
      <w:bCs/>
      <w:kern w:val="2"/>
      <w:sz w:val="32"/>
      <w:szCs w:val="32"/>
    </w:rPr>
  </w:style>
  <w:style w:type="character" w:customStyle="1" w:styleId="72">
    <w:name w:val="页眉 Char"/>
    <w:link w:val="13"/>
    <w:qFormat/>
    <w:uiPriority w:val="99"/>
    <w:rPr>
      <w:kern w:val="2"/>
      <w:sz w:val="18"/>
      <w:szCs w:val="18"/>
    </w:rPr>
  </w:style>
  <w:style w:type="character" w:customStyle="1" w:styleId="73">
    <w:name w:val="标题 Char"/>
    <w:basedOn w:val="22"/>
    <w:link w:val="17"/>
    <w:qFormat/>
    <w:uiPriority w:val="0"/>
    <w:rPr>
      <w:rFonts w:ascii="Cambria" w:hAnsi="Cambria"/>
      <w:b/>
      <w:bCs/>
      <w:kern w:val="2"/>
      <w:sz w:val="32"/>
      <w:szCs w:val="32"/>
    </w:rPr>
  </w:style>
  <w:style w:type="paragraph" w:customStyle="1" w:styleId="74">
    <w:name w:val="Char2"/>
    <w:basedOn w:val="1"/>
    <w:qFormat/>
    <w:uiPriority w:val="0"/>
    <w:pPr>
      <w:tabs>
        <w:tab w:val="left" w:pos="420"/>
      </w:tabs>
      <w:ind w:left="420" w:hanging="420"/>
    </w:pPr>
    <w:rPr>
      <w:rFonts w:ascii="Tahoma" w:hAnsi="Tahoma"/>
      <w:sz w:val="28"/>
      <w:szCs w:val="20"/>
    </w:rPr>
  </w:style>
  <w:style w:type="character" w:customStyle="1" w:styleId="75">
    <w:name w:val="日期 Char"/>
    <w:basedOn w:val="22"/>
    <w:link w:val="10"/>
    <w:qFormat/>
    <w:uiPriority w:val="0"/>
    <w:rPr>
      <w:kern w:val="2"/>
      <w:sz w:val="21"/>
      <w:szCs w:val="24"/>
    </w:rPr>
  </w:style>
  <w:style w:type="character" w:customStyle="1" w:styleId="76">
    <w:name w:val="正文文本 Char"/>
    <w:basedOn w:val="22"/>
    <w:link w:val="7"/>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28EECFE-25E7-4EBD-BB82-B4B499EB12AC}">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18</Pages>
  <Words>7049</Words>
  <Characters>7139</Characters>
  <Lines>56</Lines>
  <Paragraphs>15</Paragraphs>
  <TotalTime>0</TotalTime>
  <ScaleCrop>false</ScaleCrop>
  <LinksUpToDate>false</LinksUpToDate>
  <CharactersWithSpaces>7277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2023-02-02T07:42:00Z</dcterms:created>
  <dc:creator>china</dc:creator>
  <cp:lastModifiedBy>秦</cp:lastModifiedBy>
  <cp:lastPrinted>2023-02-02T07:37:00Z</cp:lastPrinted>
  <dcterms:modified xsi:type="dcterms:W3CDTF">2023-02-05T09:02:23Z</dcterms:modified>
  <dc:title>常州市科学技术局文件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F654395FFD5C414686EDB9D95D7A8BCF</vt:lpwstr>
  </property>
</Properties>
</file>