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firstLine="880"/>
        <w:jc w:val="center"/>
        <w:textAlignment w:val="auto"/>
        <w:outlineLvl w:val="9"/>
        <w:rPr>
          <w:rFonts w:hint="default" w:ascii="Times New Roman" w:hAnsi="Times New Roman" w:eastAsia="方正公文小标宋" w:cs="Times New Roman"/>
          <w:color w:val="000000"/>
          <w:sz w:val="44"/>
          <w:szCs w:val="44"/>
        </w:rPr>
      </w:pPr>
    </w:p>
    <w:p>
      <w:pPr>
        <w:pStyle w:val="2"/>
        <w:keepNext w:val="0"/>
        <w:keepLines w:val="0"/>
        <w:pageBreakBefore w:val="0"/>
        <w:widowControl w:val="0"/>
        <w:tabs>
          <w:tab w:val="right" w:leader="dot" w:pos="8834"/>
        </w:tabs>
        <w:kinsoku/>
        <w:wordWrap/>
        <w:overflowPunct/>
        <w:topLinePunct w:val="0"/>
        <w:autoSpaceDE/>
        <w:autoSpaceDN/>
        <w:bidi w:val="0"/>
        <w:adjustRightInd/>
        <w:snapToGrid/>
        <w:spacing w:line="600" w:lineRule="exact"/>
        <w:ind w:left="0" w:leftChars="0"/>
        <w:textAlignment w:val="auto"/>
        <w:outlineLvl w:val="9"/>
        <w:rPr>
          <w:rFonts w:hint="default" w:ascii="Times New Roman" w:hAnsi="Times New Roman" w:eastAsia="方正公文小标宋"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auto"/>
        <w:outlineLvl w:val="9"/>
        <w:rPr>
          <w:rFonts w:hint="default" w:ascii="Times New Roman" w:hAnsi="Times New Roman" w:eastAsia="方正公文小标宋" w:cs="Times New Roman"/>
          <w:color w:val="000000"/>
          <w:sz w:val="44"/>
          <w:szCs w:val="44"/>
        </w:rPr>
      </w:pPr>
    </w:p>
    <w:p>
      <w:pPr>
        <w:pStyle w:val="2"/>
        <w:keepNext w:val="0"/>
        <w:keepLines w:val="0"/>
        <w:pageBreakBefore w:val="0"/>
        <w:widowControl w:val="0"/>
        <w:tabs>
          <w:tab w:val="right" w:leader="dot" w:pos="8834"/>
        </w:tabs>
        <w:kinsoku/>
        <w:wordWrap/>
        <w:overflowPunct/>
        <w:topLinePunct w:val="0"/>
        <w:autoSpaceDE/>
        <w:autoSpaceDN/>
        <w:bidi w:val="0"/>
        <w:adjustRightInd/>
        <w:snapToGrid/>
        <w:spacing w:line="600" w:lineRule="exact"/>
        <w:ind w:left="0" w:leftChars="0"/>
        <w:textAlignment w:val="auto"/>
        <w:outlineLvl w:val="9"/>
        <w:rPr>
          <w:rFonts w:hint="default" w:ascii="Times New Roman" w:hAnsi="Times New Roman" w:eastAsia="方正公文小标宋"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公文小标宋"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公文小标宋"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default" w:ascii="Times New Roman" w:hAnsi="Times New Roman" w:eastAsia="方正公文小标宋" w:cs="Times New Roman"/>
          <w:color w:val="000000"/>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center"/>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常天政办〔2022〕</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line="700" w:lineRule="exact"/>
        <w:ind w:firstLine="0" w:firstLineChars="0"/>
        <w:jc w:val="center"/>
        <w:textAlignment w:val="auto"/>
        <w:rPr>
          <w:rFonts w:hint="default" w:ascii="Times New Roman" w:hAnsi="Times New Roman" w:eastAsia="方正小标宋_GBK" w:cs="Times New Roman"/>
          <w:color w:val="auto"/>
          <w:sz w:val="44"/>
          <w:szCs w:val="44"/>
          <w:lang w:eastAsia="zh-CN"/>
        </w:rPr>
      </w:pPr>
      <w:r>
        <w:rPr>
          <w:rFonts w:hint="default" w:ascii="Times New Roman" w:hAnsi="Times New Roman" w:eastAsia="方正小标宋_GBK" w:cs="Times New Roman"/>
          <w:color w:val="auto"/>
          <w:sz w:val="44"/>
          <w:szCs w:val="44"/>
        </w:rPr>
        <w:t>区</w:t>
      </w:r>
      <w:r>
        <w:rPr>
          <w:rFonts w:hint="default" w:ascii="Times New Roman" w:hAnsi="Times New Roman" w:eastAsia="方正小标宋_GBK" w:cs="Times New Roman"/>
          <w:color w:val="auto"/>
          <w:sz w:val="44"/>
          <w:szCs w:val="44"/>
          <w:lang w:eastAsia="zh-CN"/>
        </w:rPr>
        <w:t>政府办公室关于印发《天宁区“十四五”</w:t>
      </w:r>
    </w:p>
    <w:p>
      <w:pPr>
        <w:keepNext w:val="0"/>
        <w:keepLines w:val="0"/>
        <w:pageBreakBefore w:val="0"/>
        <w:widowControl/>
        <w:suppressLineNumbers w:val="0"/>
        <w:kinsoku/>
        <w:wordWrap/>
        <w:overflowPunct/>
        <w:topLinePunct w:val="0"/>
        <w:autoSpaceDE/>
        <w:autoSpaceDN/>
        <w:bidi w:val="0"/>
        <w:adjustRightInd w:val="0"/>
        <w:snapToGrid w:val="0"/>
        <w:spacing w:line="700" w:lineRule="exact"/>
        <w:ind w:firstLine="0" w:firstLineChars="0"/>
        <w:jc w:val="center"/>
        <w:textAlignment w:val="auto"/>
        <w:rPr>
          <w:rFonts w:hint="default" w:ascii="Times New Roman" w:hAnsi="Times New Roman" w:cs="Times New Roman"/>
          <w:color w:val="auto"/>
        </w:rPr>
      </w:pPr>
      <w:r>
        <w:rPr>
          <w:rFonts w:hint="default" w:ascii="Times New Roman" w:hAnsi="Times New Roman" w:eastAsia="方正小标宋_GBK" w:cs="Times New Roman"/>
          <w:color w:val="auto"/>
          <w:sz w:val="44"/>
          <w:szCs w:val="44"/>
          <w:lang w:eastAsia="zh-CN"/>
        </w:rPr>
        <w:t>养老服务发展规划》的通知</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880"/>
        <w:jc w:val="center"/>
        <w:textAlignment w:val="auto"/>
        <w:rPr>
          <w:rFonts w:hint="default" w:ascii="Times New Roman" w:hAnsi="Times New Roman" w:eastAsia="方正公文小标宋" w:cs="Times New Roman"/>
          <w:color w:val="auto"/>
          <w:sz w:val="44"/>
          <w:szCs w:val="44"/>
        </w:rPr>
      </w:pPr>
    </w:p>
    <w:p>
      <w:pPr>
        <w:pStyle w:val="2"/>
        <w:keepNext w:val="0"/>
        <w:keepLines w:val="0"/>
        <w:pageBreakBefore w:val="0"/>
        <w:widowControl w:val="0"/>
        <w:kinsoku/>
        <w:wordWrap/>
        <w:overflowPunct/>
        <w:topLinePunct w:val="0"/>
        <w:autoSpaceDE/>
        <w:autoSpaceDN/>
        <w:bidi w:val="0"/>
        <w:adjustRightInd w:val="0"/>
        <w:snapToGrid w:val="0"/>
        <w:spacing w:line="570" w:lineRule="exact"/>
        <w:ind w:left="0" w:leftChars="0" w:firstLine="0" w:firstLineChars="0"/>
        <w:textAlignment w:val="auto"/>
        <w:rPr>
          <w:rFonts w:hint="default" w:ascii="Times New Roman" w:hAnsi="Times New Roman" w:eastAsia="方正仿宋_GBK" w:cs="Times New Roman"/>
          <w:color w:val="auto"/>
          <w:spacing w:val="-11"/>
          <w:kern w:val="2"/>
          <w:sz w:val="32"/>
          <w:szCs w:val="32"/>
        </w:rPr>
      </w:pPr>
      <w:r>
        <w:rPr>
          <w:rFonts w:hint="eastAsia" w:ascii="Times New Roman" w:hAnsi="Times New Roman" w:cs="Times New Roman"/>
          <w:color w:val="auto"/>
          <w:spacing w:val="-11"/>
          <w:kern w:val="2"/>
          <w:sz w:val="32"/>
          <w:szCs w:val="32"/>
          <w:lang w:val="en-US" w:eastAsia="zh-CN"/>
        </w:rPr>
        <w:t>开发区管委会、</w:t>
      </w:r>
      <w:r>
        <w:rPr>
          <w:rFonts w:hint="default" w:ascii="Times New Roman" w:hAnsi="Times New Roman" w:eastAsia="方正仿宋_GBK" w:cs="Times New Roman"/>
          <w:color w:val="auto"/>
          <w:spacing w:val="-11"/>
          <w:kern w:val="2"/>
          <w:sz w:val="32"/>
          <w:szCs w:val="32"/>
        </w:rPr>
        <w:t>镇政府、各街道办事处，区各办局，区各直属单位：</w:t>
      </w:r>
    </w:p>
    <w:p>
      <w:pPr>
        <w:pStyle w:val="2"/>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eastAsia="zh-CN"/>
        </w:rPr>
        <w:t>《天宁区“十四五”养老服务发展规划》已经常州市天宁区人民政府</w:t>
      </w:r>
      <w:r>
        <w:rPr>
          <w:rFonts w:hint="default" w:ascii="Times New Roman" w:hAnsi="Times New Roman" w:eastAsia="方正仿宋_GBK" w:cs="Times New Roman"/>
          <w:color w:val="auto"/>
          <w:sz w:val="32"/>
          <w:szCs w:val="32"/>
          <w:lang w:val="en-US" w:eastAsia="zh-CN"/>
        </w:rPr>
        <w:t>常务会议审议通过，现印发给你们，请认真贯彻落实。</w:t>
      </w:r>
    </w:p>
    <w:p>
      <w:pPr>
        <w:pStyle w:val="2"/>
        <w:keepNext w:val="0"/>
        <w:keepLines w:val="0"/>
        <w:pageBreakBefore w:val="0"/>
        <w:widowControl w:val="0"/>
        <w:kinsoku/>
        <w:wordWrap/>
        <w:overflowPunct/>
        <w:topLinePunct w:val="0"/>
        <w:autoSpaceDE/>
        <w:autoSpaceDN/>
        <w:bidi w:val="0"/>
        <w:adjustRightInd w:val="0"/>
        <w:snapToGrid w:val="0"/>
        <w:spacing w:line="710" w:lineRule="exact"/>
        <w:ind w:left="0" w:leftChars="0" w:firstLine="0" w:firstLineChars="0"/>
        <w:textAlignment w:val="auto"/>
        <w:rPr>
          <w:rFonts w:hint="default" w:ascii="Times New Roman" w:hAnsi="Times New Roman" w:eastAsia="方正仿宋_GBK" w:cs="Times New Roman"/>
          <w:color w:val="auto"/>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710" w:lineRule="exact"/>
        <w:ind w:left="0" w:leftChars="0" w:firstLine="0" w:firstLineChars="0"/>
        <w:textAlignment w:val="auto"/>
        <w:rPr>
          <w:rFonts w:hint="default" w:ascii="Times New Roman" w:hAnsi="Times New Roman" w:eastAsia="方正仿宋_GBK" w:cs="Times New Roman"/>
          <w:color w:val="auto"/>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570" w:lineRule="exact"/>
        <w:ind w:left="0" w:leftChars="0" w:firstLine="3779" w:firstLineChars="1181"/>
        <w:jc w:val="center"/>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常州市天宁区人民政府办公室</w:t>
      </w:r>
    </w:p>
    <w:p>
      <w:pPr>
        <w:pStyle w:val="2"/>
        <w:keepNext w:val="0"/>
        <w:keepLines w:val="0"/>
        <w:pageBreakBefore w:val="0"/>
        <w:widowControl w:val="0"/>
        <w:kinsoku/>
        <w:wordWrap/>
        <w:overflowPunct/>
        <w:topLinePunct w:val="0"/>
        <w:autoSpaceDE/>
        <w:autoSpaceDN/>
        <w:bidi w:val="0"/>
        <w:adjustRightInd w:val="0"/>
        <w:snapToGrid w:val="0"/>
        <w:spacing w:line="570" w:lineRule="exact"/>
        <w:ind w:left="0" w:leftChars="0" w:firstLine="3779" w:firstLineChars="1181"/>
        <w:jc w:val="center"/>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2022年</w:t>
      </w:r>
      <w:r>
        <w:rPr>
          <w:rFonts w:hint="eastAsia" w:ascii="Times New Roman" w:hAnsi="Times New Roman" w:cs="Times New Roman"/>
          <w:color w:val="auto"/>
          <w:sz w:val="32"/>
          <w:szCs w:val="32"/>
          <w:lang w:val="en-US" w:eastAsia="zh-CN"/>
        </w:rPr>
        <w:t>7</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cs="Times New Roman"/>
          <w:color w:val="auto"/>
          <w:sz w:val="32"/>
          <w:szCs w:val="32"/>
          <w:lang w:val="en-US" w:eastAsia="zh-CN"/>
        </w:rPr>
        <w:t>19</w:t>
      </w:r>
      <w:r>
        <w:rPr>
          <w:rFonts w:hint="default" w:ascii="Times New Roman" w:hAnsi="Times New Roman" w:eastAsia="方正仿宋_GBK" w:cs="Times New Roman"/>
          <w:color w:val="auto"/>
          <w:sz w:val="32"/>
          <w:szCs w:val="32"/>
          <w:lang w:val="en-US" w:eastAsia="zh-CN"/>
        </w:rPr>
        <w:t>日</w:t>
      </w:r>
    </w:p>
    <w:p>
      <w:pPr>
        <w:pStyle w:val="2"/>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（此件公开发布）</w:t>
      </w:r>
    </w:p>
    <w:p>
      <w:pPr>
        <w:keepNext w:val="0"/>
        <w:keepLines w:val="0"/>
        <w:pageBreakBefore w:val="0"/>
        <w:widowControl w:val="0"/>
        <w:kinsoku/>
        <w:wordWrap/>
        <w:overflowPunct/>
        <w:topLinePunct w:val="0"/>
        <w:autoSpaceDE/>
        <w:autoSpaceDN/>
        <w:bidi w:val="0"/>
        <w:adjustRightInd w:val="0"/>
        <w:snapToGrid w:val="0"/>
        <w:spacing w:before="0" w:after="0" w:line="570" w:lineRule="exact"/>
        <w:ind w:left="0" w:leftChars="0" w:right="0" w:rightChars="0" w:firstLine="420" w:firstLineChars="200"/>
        <w:jc w:val="center"/>
        <w:textAlignment w:val="auto"/>
        <w:rPr>
          <w:rFonts w:hint="default" w:ascii="Times New Roman" w:hAnsi="Times New Roman" w:eastAsia="宋体" w:cs="Times New Roman"/>
          <w:color w:val="auto"/>
          <w:kern w:val="2"/>
          <w:sz w:val="21"/>
          <w:szCs w:val="24"/>
          <w:lang w:val="en-US" w:eastAsia="zh-CN" w:bidi="ar-SA"/>
        </w:rPr>
        <w:sectPr>
          <w:headerReference r:id="rId3" w:type="default"/>
          <w:footerReference r:id="rId4" w:type="default"/>
          <w:pgSz w:w="11906" w:h="16840"/>
          <w:pgMar w:top="2098" w:right="1531" w:bottom="1984" w:left="1531" w:header="709" w:footer="1361" w:gutter="0"/>
          <w:pgBorders>
            <w:top w:val="none" w:sz="0" w:space="0"/>
            <w:left w:val="none" w:sz="0" w:space="0"/>
            <w:bottom w:val="none" w:sz="0" w:space="0"/>
            <w:right w:val="none" w:sz="0" w:space="0"/>
          </w:pgBorders>
          <w:pgNumType w:fmt="decimal" w:start="1"/>
          <w:cols w:equalWidth="0" w:num="1">
            <w:col w:w="9340"/>
          </w:cols>
        </w:sectPr>
      </w:pPr>
    </w:p>
    <w:sdt>
      <w:sdtPr>
        <w:rPr>
          <w:rFonts w:hint="default" w:ascii="Times New Roman" w:hAnsi="Times New Roman" w:eastAsia="宋体" w:cs="Times New Roman"/>
          <w:color w:val="auto"/>
          <w:kern w:val="2"/>
          <w:sz w:val="21"/>
          <w:szCs w:val="24"/>
          <w:lang w:val="en-US" w:eastAsia="zh-CN" w:bidi="ar-SA"/>
        </w:rPr>
        <w:id w:val="147478102"/>
        <w15:color w:val="DBDBDB"/>
        <w:docPartObj>
          <w:docPartGallery w:val="Table of Contents"/>
          <w:docPartUnique/>
        </w:docPartObj>
      </w:sdtPr>
      <w:sdtEndPr>
        <w:rPr>
          <w:rFonts w:hint="default" w:ascii="Times New Roman" w:hAnsi="Times New Roman" w:eastAsia="仿宋_GB2312" w:cs="Times New Roman"/>
          <w:color w:val="auto"/>
          <w:kern w:val="2"/>
          <w:sz w:val="32"/>
          <w:szCs w:val="3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700" w:lineRule="exact"/>
            <w:ind w:left="0" w:leftChars="0" w:right="0" w:rightChars="0" w:firstLine="0" w:firstLineChars="0"/>
            <w:jc w:val="center"/>
            <w:textAlignment w:val="auto"/>
            <w:rPr>
              <w:rFonts w:hint="default" w:ascii="Times New Roman" w:hAnsi="Times New Roman" w:eastAsia="方正小标宋简体" w:cs="Times New Roman"/>
              <w:color w:val="auto"/>
              <w:sz w:val="44"/>
              <w:szCs w:val="44"/>
            </w:rPr>
          </w:pPr>
          <w:r>
            <w:rPr>
              <w:rFonts w:hint="eastAsia" w:ascii="方正小标宋_GBK" w:hAnsi="方正小标宋_GBK" w:eastAsia="方正小标宋_GBK" w:cs="方正小标宋_GBK"/>
              <w:color w:val="auto"/>
              <w:sz w:val="44"/>
              <w:szCs w:val="44"/>
            </w:rPr>
            <w:t>目</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黑体_GBK" w:cs="Times New Roman"/>
              <w:color w:val="auto"/>
              <w:sz w:val="32"/>
              <w:szCs w:val="32"/>
            </w:rPr>
            <w:t>一、规划背景</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eastAsia="zh-CN"/>
            </w:rPr>
            <w:t>（一）发展基础</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一是“体系化”建设稳步推进</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二是“标准化”建设成效明显</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三是“产业化”发展起步较早</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四是“智慧化”模式全市率先</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（二）发展形势</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方正黑体_GBK" w:cs="Times New Roman"/>
              <w:color w:val="auto"/>
              <w:sz w:val="32"/>
              <w:szCs w:val="32"/>
            </w:rPr>
            <w:t>二、指导思想</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方正黑体_GBK" w:cs="Times New Roman"/>
              <w:color w:val="auto"/>
              <w:sz w:val="32"/>
              <w:szCs w:val="32"/>
            </w:rPr>
            <w:t>三、基本原则</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（一）党建引领、多元参与</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（二）以人为本、开放共享</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（三）统筹兼顾、融合发展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eastAsia="zh-CN"/>
            </w:rPr>
          </w:pPr>
          <w:r>
            <w:rPr>
              <w:rFonts w:hint="default" w:ascii="Times New Roman" w:hAnsi="Times New Roman" w:eastAsia="方正楷体_GBK" w:cs="Times New Roman"/>
              <w:color w:val="auto"/>
              <w:sz w:val="32"/>
              <w:szCs w:val="32"/>
              <w:lang w:val="en-US" w:eastAsia="zh-CN"/>
            </w:rPr>
            <w:t>（四）创新驱动、提质增效</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方正黑体_GBK" w:cs="Times New Roman"/>
              <w:color w:val="auto"/>
              <w:sz w:val="32"/>
              <w:szCs w:val="32"/>
            </w:rPr>
            <w:t>四、总体目标</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（一）供给有效</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（二）要素保障</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（三）产业集聚</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（四）平台服务</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（五）监管有力</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黑体_GBK" w:cs="Times New Roman"/>
              <w:color w:val="auto"/>
              <w:sz w:val="32"/>
              <w:szCs w:val="32"/>
            </w:rPr>
            <w:t>五、主要任务</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（一）着力推进社区居家养老服务</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大力完善社区养老分级服务体系</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丰富社区养老服务业态</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提升居家养老服务实效</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积极培育养老服务社会组织</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（二）大力提升机构养老服务能级</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5.</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建立标准化养老服务管理体系</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6.</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建立标准化智慧养老院</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7.</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提升机构养老服务质量</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（三）积极培育养老服务产业</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8.</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产业供给提档升级</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业态多元融合发展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10.</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新兴技术强力赋能</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（四）加快推进医养融合发展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11.</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整合医疗卫生和养老资源</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12.</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积极试点家庭养老照护床位建设</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（五）探索农村养老服务发展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13.</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加强农村养老服务发展</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14.</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构筑农村养老服务关爱网络</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rPr>
          </w:pPr>
          <w:r>
            <w:rPr>
              <w:rFonts w:hint="default" w:ascii="Times New Roman" w:hAnsi="Times New Roman" w:eastAsia="方正楷体_GBK" w:cs="Times New Roman"/>
              <w:color w:val="auto"/>
              <w:sz w:val="32"/>
              <w:szCs w:val="32"/>
              <w:lang w:val="en-US" w:eastAsia="zh-CN"/>
            </w:rPr>
            <w:t>（六）全面提升养老服务标准化、规范化建设</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15.</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努力提高养老服务精准化程度</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16.</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完善养老服务领域信用体系</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17.</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提升养老服务综合监管能力</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18.</w:t>
          </w:r>
          <w:r>
            <w:rPr>
              <w:rFonts w:hint="eastAsia"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全面落实养老服务安全生产</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方正黑体_GBK" w:cs="Times New Roman"/>
              <w:color w:val="auto"/>
              <w:sz w:val="32"/>
              <w:szCs w:val="32"/>
            </w:rPr>
            <w:t>六、保障措施</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（一）加强组织保障</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（二）加强规划引领和财力保障</w:t>
          </w:r>
        </w:p>
        <w:p>
          <w:pPr>
            <w:pStyle w:val="31"/>
            <w:keepNext w:val="0"/>
            <w:keepLines w:val="0"/>
            <w:pageBreakBefore w:val="0"/>
            <w:widowControl/>
            <w:tabs>
              <w:tab w:val="right" w:leader="dot" w:pos="8858"/>
            </w:tabs>
            <w:kinsoku/>
            <w:wordWrap/>
            <w:overflowPunct/>
            <w:topLinePunct w:val="0"/>
            <w:autoSpaceDE/>
            <w:autoSpaceDN/>
            <w:bidi w:val="0"/>
            <w:adjustRightInd/>
            <w:snapToGrid/>
            <w:spacing w:line="570" w:lineRule="exact"/>
            <w:ind w:left="0" w:leftChars="0"/>
            <w:jc w:val="left"/>
            <w:textAlignment w:val="auto"/>
            <w:rPr>
              <w:rFonts w:hint="default" w:ascii="Times New Roman" w:hAnsi="Times New Roman" w:eastAsia="仿宋_GB2312" w:cs="Times New Roman"/>
              <w:color w:val="auto"/>
              <w:sz w:val="32"/>
              <w:szCs w:val="32"/>
            </w:rPr>
            <w:sectPr>
              <w:footerReference r:id="rId5" w:type="default"/>
              <w:pgSz w:w="11920" w:h="16840"/>
              <w:pgMar w:top="2098" w:right="1531" w:bottom="1984" w:left="1531" w:header="709" w:footer="1361" w:gutter="0"/>
              <w:pgBorders>
                <w:top w:val="none" w:sz="0" w:space="0"/>
                <w:left w:val="none" w:sz="0" w:space="0"/>
                <w:bottom w:val="none" w:sz="0" w:space="0"/>
                <w:right w:val="none" w:sz="0" w:space="0"/>
              </w:pgBorders>
              <w:pgNumType w:fmt="decimal"/>
              <w:cols w:equalWidth="0" w:num="1">
                <w:col w:w="9340"/>
              </w:cols>
            </w:sectPr>
          </w:pPr>
          <w:r>
            <w:rPr>
              <w:rFonts w:hint="default" w:ascii="Times New Roman" w:hAnsi="Times New Roman" w:eastAsia="方正楷体_GBK" w:cs="Times New Roman"/>
              <w:color w:val="auto"/>
              <w:sz w:val="32"/>
              <w:szCs w:val="32"/>
              <w:lang w:val="en-US" w:eastAsia="zh-CN"/>
            </w:rPr>
            <w:t>（三）加大宣传推广</w:t>
          </w:r>
        </w:p>
      </w:sdtContent>
    </w:sdt>
    <w:p>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方正小标宋_GBK" w:cs="Times New Roman"/>
          <w:color w:val="auto"/>
          <w:sz w:val="44"/>
          <w:szCs w:val="44"/>
        </w:rPr>
        <w:t>天宁区“十四五”养老服务发展</w:t>
      </w:r>
      <w:r>
        <w:rPr>
          <w:rFonts w:hint="default" w:ascii="Times New Roman" w:hAnsi="Times New Roman" w:eastAsia="方正小标宋_GBK" w:cs="Times New Roman"/>
          <w:color w:val="auto"/>
          <w:sz w:val="44"/>
          <w:szCs w:val="44"/>
          <w:lang w:val="en-US" w:eastAsia="zh-CN"/>
        </w:rPr>
        <w:t>规划</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为积极响应人口老龄化国家战略，围绕构建养老服务发展新格局，建设强富美高新天宁，推动高质量发展走在前列，不断满足老年人日益增长的多层次、多样化和品质化养老服务需求。根据十九届五中全会公报、《国家积极应对人口老龄化中长期规划》（中发〔2019〕25号）、《江苏省“十四五”养老服务发展规划》（苏政办发〔2021〕63号）、《常州市“十四五”养老服务发展规划》（常政办发〔2021〕79号）及2021年11月18日中共中央、国务院《关于加强新时代老龄工作的意见》精神，制定本规划。</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0" w:name="_Toc7109"/>
      <w:bookmarkStart w:id="1" w:name="_Toc26607"/>
      <w:r>
        <w:rPr>
          <w:rFonts w:hint="default" w:ascii="Times New Roman" w:hAnsi="Times New Roman" w:eastAsia="方正黑体_GBK" w:cs="Times New Roman"/>
          <w:color w:val="auto"/>
          <w:sz w:val="32"/>
          <w:szCs w:val="32"/>
        </w:rPr>
        <w:t>一、规划背景</w:t>
      </w:r>
      <w:bookmarkEnd w:id="0"/>
      <w:bookmarkEnd w:id="1"/>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至2020年末，天宁区60岁以上户籍老年人口达12.8万人，占总人口的26.6%，同比增长3.2%；其中80岁以上高龄老年人2.04万，同比增长4.06%。全区老年人口“基数大、增速快、高龄化”的特点明显。“十三五”以来，在区委、区政府坚强领导和上级部门正确指导下，天宁区着力破解“一老”难题，把养老服务作为民生发展的重中之重，围绕体系化、标准化、产业化、智慧化推动全区养老服务机制创新、内涵拓展、品质提升，</w:t>
      </w:r>
      <w:r>
        <w:rPr>
          <w:rFonts w:hint="default" w:ascii="Times New Roman" w:hAnsi="Times New Roman" w:eastAsia="方正仿宋_GBK" w:cs="Times New Roman"/>
          <w:color w:val="auto"/>
          <w:sz w:val="32"/>
          <w:szCs w:val="32"/>
          <w:lang w:eastAsia="zh-CN"/>
        </w:rPr>
        <w:t>国务院总理李克强肯定天宁区养老服务工作，</w:t>
      </w:r>
      <w:r>
        <w:rPr>
          <w:rFonts w:hint="default" w:ascii="Times New Roman" w:hAnsi="Times New Roman" w:eastAsia="方正仿宋_GBK" w:cs="Times New Roman"/>
          <w:color w:val="auto"/>
          <w:sz w:val="32"/>
          <w:szCs w:val="32"/>
        </w:rPr>
        <w:t>国务院副总理孙春兰对天宁区健康养老工作作出重要批示。</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（一）发展基础</w:t>
      </w:r>
    </w:p>
    <w:p>
      <w:pPr>
        <w:keepNext w:val="0"/>
        <w:keepLines w:val="0"/>
        <w:pageBreakBefore w:val="0"/>
        <w:widowControl w:val="0"/>
        <w:kinsoku/>
        <w:wordWrap/>
        <w:overflowPunct/>
        <w:topLinePunct w:val="0"/>
        <w:autoSpaceDE/>
        <w:autoSpaceDN/>
        <w:bidi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一是“体系化”建设稳步推进。</w:t>
      </w:r>
      <w:r>
        <w:rPr>
          <w:rFonts w:hint="default" w:ascii="Times New Roman" w:hAnsi="Times New Roman" w:eastAsia="方正仿宋_GBK" w:cs="Times New Roman"/>
          <w:b w:val="0"/>
          <w:bCs w:val="0"/>
          <w:color w:val="auto"/>
          <w:sz w:val="32"/>
          <w:szCs w:val="32"/>
        </w:rPr>
        <w:t>兜底保障水平提升。</w:t>
      </w:r>
      <w:r>
        <w:rPr>
          <w:rFonts w:hint="default" w:ascii="Times New Roman" w:hAnsi="Times New Roman" w:eastAsia="方正仿宋_GBK" w:cs="Times New Roman"/>
          <w:color w:val="auto"/>
          <w:sz w:val="32"/>
          <w:szCs w:val="32"/>
        </w:rPr>
        <w:t>全区98名城乡特困供养老年人实现“应保尽保、应养尽养”，建成农村互助式养老设施7家，对1家农村敬老院优化服务管理，改善居住环境和生活条件，全区有养老机构24家，总床位数4279张，其中护理型床位3465张，占比80.9%，每千名老年人拥有床位数40.8张。</w:t>
      </w:r>
      <w:r>
        <w:rPr>
          <w:rFonts w:hint="default" w:ascii="Times New Roman" w:hAnsi="Times New Roman" w:eastAsia="方正仿宋_GBK" w:cs="Times New Roman"/>
          <w:b w:val="0"/>
          <w:bCs w:val="0"/>
          <w:color w:val="auto"/>
          <w:sz w:val="32"/>
          <w:szCs w:val="32"/>
        </w:rPr>
        <w:t>社区养老阵地完备。</w:t>
      </w:r>
      <w:r>
        <w:rPr>
          <w:rFonts w:hint="default" w:ascii="Times New Roman" w:hAnsi="Times New Roman" w:eastAsia="方正仿宋_GBK" w:cs="Times New Roman"/>
          <w:color w:val="auto"/>
          <w:sz w:val="32"/>
          <w:szCs w:val="32"/>
        </w:rPr>
        <w:t>全区共建有</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个街道级居家养老服务中心、12</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个村（社区）居家养老服务站，居家服务覆盖率100%。其中，创成省级示范性居家养老服务中心（站）6家。茶山街道朝阳四村北区适老住区改造项目获评“江苏省民政建设十大创新成果”。</w:t>
      </w:r>
      <w:r>
        <w:rPr>
          <w:rFonts w:hint="default" w:ascii="Times New Roman" w:hAnsi="Times New Roman" w:eastAsia="方正仿宋_GBK" w:cs="Times New Roman"/>
          <w:b w:val="0"/>
          <w:bCs w:val="0"/>
          <w:color w:val="auto"/>
          <w:sz w:val="32"/>
          <w:szCs w:val="32"/>
        </w:rPr>
        <w:t>居家养老持续深入。</w:t>
      </w:r>
      <w:r>
        <w:rPr>
          <w:rFonts w:hint="default" w:ascii="Times New Roman" w:hAnsi="Times New Roman" w:eastAsia="方正仿宋_GBK" w:cs="Times New Roman"/>
          <w:color w:val="auto"/>
          <w:sz w:val="32"/>
          <w:szCs w:val="32"/>
        </w:rPr>
        <w:t>累计争取上级资金2600余万元，接受上门服务老人占比达28%，位居全市第一。年均向80岁以上高龄老人发放尊老金1304万元。为</w:t>
      </w:r>
      <w:r>
        <w:rPr>
          <w:rFonts w:hint="eastAsia" w:ascii="Times New Roman" w:hAnsi="Times New Roman" w:eastAsia="方正仿宋_GBK" w:cs="Times New Roman"/>
          <w:color w:val="auto"/>
          <w:sz w:val="32"/>
          <w:szCs w:val="32"/>
          <w:lang w:val="en-US" w:eastAsia="zh-CN"/>
        </w:rPr>
        <w:t>2020</w:t>
      </w:r>
      <w:bookmarkStart w:id="210" w:name="_GoBack"/>
      <w:bookmarkEnd w:id="210"/>
      <w:r>
        <w:rPr>
          <w:rFonts w:hint="default" w:ascii="Times New Roman" w:hAnsi="Times New Roman" w:eastAsia="方正仿宋_GBK" w:cs="Times New Roman"/>
          <w:color w:val="auto"/>
          <w:sz w:val="32"/>
          <w:szCs w:val="32"/>
        </w:rPr>
        <w:t>名困难老人提供家庭适老化改造。</w:t>
      </w:r>
    </w:p>
    <w:p>
      <w:pPr>
        <w:keepNext w:val="0"/>
        <w:keepLines w:val="0"/>
        <w:pageBreakBefore w:val="0"/>
        <w:widowControl w:val="0"/>
        <w:kinsoku/>
        <w:wordWrap/>
        <w:overflowPunct/>
        <w:topLinePunct w:val="0"/>
        <w:autoSpaceDE/>
        <w:autoSpaceDN/>
        <w:bidi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二是“标准化”建设成效明显。</w:t>
      </w:r>
      <w:r>
        <w:rPr>
          <w:rFonts w:hint="default" w:ascii="Times New Roman" w:hAnsi="Times New Roman" w:eastAsia="方正仿宋_GBK" w:cs="Times New Roman"/>
          <w:color w:val="auto"/>
          <w:sz w:val="32"/>
          <w:szCs w:val="32"/>
        </w:rPr>
        <w:t>“天宁区居家养老管理服务标准化试点”项目成为江苏省首个国家级居家养老服务标准化试点，天宁区探索建立了“‘床位、餐位、座位、浴位、维权席位’五位一体”的“5+X”居家养老服务标准体系，包括27项服务提供规范、2项基础通用规范、23项服务保障规范，2017年12月，试点项目顺利通过国标委专家组的评估验收。</w:t>
      </w:r>
    </w:p>
    <w:p>
      <w:pPr>
        <w:keepNext w:val="0"/>
        <w:keepLines w:val="0"/>
        <w:pageBreakBefore w:val="0"/>
        <w:widowControl w:val="0"/>
        <w:kinsoku/>
        <w:wordWrap/>
        <w:overflowPunct/>
        <w:topLinePunct w:val="0"/>
        <w:autoSpaceDE/>
        <w:autoSpaceDN/>
        <w:bidi w:val="0"/>
        <w:spacing w:line="570" w:lineRule="exact"/>
        <w:ind w:left="0" w:leftChars="0" w:firstLine="643" w:firstLineChars="200"/>
        <w:textAlignment w:val="auto"/>
        <w:rPr>
          <w:rFonts w:hint="default" w:ascii="Times New Roman" w:hAnsi="Times New Roman" w:eastAsia="方正仿宋_GBK" w:cs="Times New Roman"/>
          <w:color w:val="auto"/>
          <w:kern w:val="0"/>
          <w:sz w:val="32"/>
          <w:szCs w:val="32"/>
          <w:lang w:eastAsia="zh-CN"/>
        </w:rPr>
      </w:pPr>
      <w:r>
        <w:rPr>
          <w:rFonts w:hint="default" w:ascii="Times New Roman" w:hAnsi="Times New Roman" w:eastAsia="方正仿宋_GBK" w:cs="Times New Roman"/>
          <w:b/>
          <w:bCs/>
          <w:color w:val="auto"/>
          <w:sz w:val="32"/>
          <w:szCs w:val="32"/>
        </w:rPr>
        <w:t>三是“产业化”发展起步较早。</w:t>
      </w:r>
      <w:r>
        <w:rPr>
          <w:rFonts w:hint="default" w:ascii="Times New Roman" w:hAnsi="Times New Roman" w:eastAsia="方正仿宋_GBK" w:cs="Times New Roman"/>
          <w:color w:val="auto"/>
          <w:sz w:val="32"/>
          <w:szCs w:val="32"/>
        </w:rPr>
        <w:t>2019年正式获批全省唯一一个省级健康养老服务业集聚区，集聚区着力打造健康医疗、健康养老、健康教育、健康金融、健康产品“五合一”的大健康产业链，落户企业37家。引进励建安院士工作室，开创全球首个政府参与的国际康复认证体系项目。2018年，国家副主席王岐山专题调研天宁区中国—以色列健康养老合作项目</w:t>
      </w:r>
      <w:r>
        <w:rPr>
          <w:rFonts w:hint="default"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四是“智慧化”模式全市率先。</w:t>
      </w:r>
      <w:r>
        <w:rPr>
          <w:rFonts w:hint="default" w:ascii="Times New Roman" w:hAnsi="Times New Roman" w:eastAsia="方正仿宋_GBK" w:cs="Times New Roman"/>
          <w:color w:val="auto"/>
          <w:sz w:val="32"/>
          <w:szCs w:val="32"/>
        </w:rPr>
        <w:t>2016年，建成全市首家街道级线上线下智慧养老服务体系。2018年，建成了区级智慧养老服务指挥平台，平台整合线上线下养老服务资源，打造了天宁区“互联网+居家养老服务”新模式。2020年，茶山街道被工业和信息化部、民政部、国家卫生健康委员会联合评为全国第三批智慧健康养老应用试点示范街道。</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（二）发展形势</w:t>
      </w:r>
    </w:p>
    <w:p>
      <w:pPr>
        <w:pStyle w:val="2"/>
        <w:keepNext w:val="0"/>
        <w:keepLines w:val="0"/>
        <w:pageBreakBefore w:val="0"/>
        <w:widowControl w:val="0"/>
        <w:kinsoku/>
        <w:wordWrap/>
        <w:overflowPunct/>
        <w:topLinePunct w:val="0"/>
        <w:autoSpaceDE/>
        <w:autoSpaceDN/>
        <w:bidi w:val="0"/>
        <w:spacing w:line="570" w:lineRule="exact"/>
        <w:ind w:left="0" w:leftChars="0" w:firstLine="640" w:firstLineChars="200"/>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养老服务事关国家发展全局和百姓福祉，党的十九届五中全会更是首次将应对人口老龄化上升为国家战略。“十四五”是积极应对人口老龄化的战略窗口期，也是养老服务迈向现代化发展的关键机遇期，“十四五”期间，全区60周岁以上老年人口将持续突破，老年人对于专业化、品质化、多样化、精准化的养老服务的需求将持续提升，而我区养老服务体系建设虽然取得了初步成效，但与天宁区域经济社会发展水平和人民群众对高品质生活的美好期待相比，还存在更多挑战。</w:t>
      </w:r>
      <w:r>
        <w:rPr>
          <w:rFonts w:hint="default" w:ascii="Times New Roman" w:hAnsi="Times New Roman" w:eastAsia="方正仿宋_GBK" w:cs="Times New Roman"/>
          <w:b/>
          <w:bCs/>
          <w:color w:val="auto"/>
          <w:kern w:val="2"/>
          <w:sz w:val="32"/>
          <w:szCs w:val="32"/>
          <w:lang w:val="en-US" w:eastAsia="zh-CN" w:bidi="ar-SA"/>
        </w:rPr>
        <w:t>养老服务规划、政策体系不够完善。</w:t>
      </w:r>
      <w:r>
        <w:rPr>
          <w:rFonts w:hint="default" w:ascii="Times New Roman" w:hAnsi="Times New Roman" w:eastAsia="方正仿宋_GBK" w:cs="Times New Roman"/>
          <w:color w:val="auto"/>
          <w:kern w:val="2"/>
          <w:sz w:val="32"/>
          <w:szCs w:val="32"/>
          <w:lang w:val="en-US" w:eastAsia="zh-CN" w:bidi="ar-SA"/>
        </w:rPr>
        <w:t>天宁区养老服务发展的整体规划还未形成，相关配套政策等制度建设还需进一步加强，在依靠上级政策资金扶持的基础上，还需加强对区级养老服务扶持政策的研究、完善。</w:t>
      </w:r>
      <w:r>
        <w:rPr>
          <w:rFonts w:hint="default" w:ascii="Times New Roman" w:hAnsi="Times New Roman" w:eastAsia="方正仿宋_GBK" w:cs="Times New Roman"/>
          <w:b/>
          <w:bCs/>
          <w:color w:val="auto"/>
          <w:kern w:val="2"/>
          <w:sz w:val="32"/>
          <w:szCs w:val="32"/>
          <w:lang w:val="en-US" w:eastAsia="zh-CN" w:bidi="ar-SA"/>
        </w:rPr>
        <w:t>机构、社区、居家相协调的服务体系建设不够健全。</w:t>
      </w:r>
      <w:r>
        <w:rPr>
          <w:rFonts w:hint="default" w:ascii="Times New Roman" w:hAnsi="Times New Roman" w:eastAsia="方正仿宋_GBK" w:cs="Times New Roman"/>
          <w:color w:val="auto"/>
          <w:kern w:val="2"/>
          <w:sz w:val="32"/>
          <w:szCs w:val="32"/>
          <w:lang w:val="en-US" w:eastAsia="zh-CN" w:bidi="ar-SA"/>
        </w:rPr>
        <w:t>机构养老设施区域分布不均衡，老旧养老机构占一半比例，全区24家养老机构中医养结合机构仅16家。社区养老分级服务体系不健全，区级养老服务指导中心有待建设，街道（镇）级养老服务综合体只建成茶山、红梅各1家。居家养老服务形式、内容较单一，还未能较好满足老年人多样化的养老服务需求。</w:t>
      </w:r>
      <w:r>
        <w:rPr>
          <w:rFonts w:hint="default" w:ascii="Times New Roman" w:hAnsi="Times New Roman" w:eastAsia="方正仿宋_GBK" w:cs="Times New Roman"/>
          <w:b/>
          <w:bCs/>
          <w:color w:val="auto"/>
          <w:kern w:val="2"/>
          <w:sz w:val="32"/>
          <w:szCs w:val="32"/>
          <w:lang w:val="en-US" w:eastAsia="zh-CN" w:bidi="ar-SA"/>
        </w:rPr>
        <w:t>养老服务资源整合不够到位。</w:t>
      </w:r>
      <w:r>
        <w:rPr>
          <w:rFonts w:hint="default" w:ascii="Times New Roman" w:hAnsi="Times New Roman" w:eastAsia="方正仿宋_GBK" w:cs="Times New Roman"/>
          <w:color w:val="auto"/>
          <w:kern w:val="2"/>
          <w:sz w:val="32"/>
          <w:szCs w:val="32"/>
          <w:lang w:val="en-US" w:eastAsia="zh-CN" w:bidi="ar-SA"/>
        </w:rPr>
        <w:t>发改、民政、财政、卫健等政府职能部门在养老服务发展环境、资源供给、政策扶持等方面，尚未形成动态管理、资源共享、职能联动的协同机制。受扶持政策等影响，社会力量尚未成为养老服务的主体，全区养老服务阵地的社会化运营率偏低。</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2" w:name="_Toc21146"/>
      <w:bookmarkStart w:id="3" w:name="_Toc3263"/>
      <w:r>
        <w:rPr>
          <w:rFonts w:hint="default" w:ascii="Times New Roman" w:hAnsi="Times New Roman" w:eastAsia="方正黑体_GBK" w:cs="Times New Roman"/>
          <w:color w:val="auto"/>
          <w:sz w:val="32"/>
          <w:szCs w:val="32"/>
        </w:rPr>
        <w:t>二、指导思想</w:t>
      </w:r>
      <w:bookmarkEnd w:id="2"/>
      <w:bookmarkEnd w:id="3"/>
    </w:p>
    <w:p>
      <w:pPr>
        <w:keepNext w:val="0"/>
        <w:keepLines w:val="0"/>
        <w:pageBreakBefore w:val="0"/>
        <w:widowControl w:val="0"/>
        <w:kinsoku/>
        <w:wordWrap/>
        <w:overflowPunct/>
        <w:topLinePunct w:val="0"/>
        <w:autoSpaceDE/>
        <w:autoSpaceDN/>
        <w:bidi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以习近平新时代中国特色社会主义思想为指导，全面落实党的十九大和十九届二中、三中、四中、五中、六中全会精神，积极应对深度人口老龄化的挑战，把握养老服务迈向现代化发展的关键机遇期，主动适应养老服务多元化需求、市场化协同和产业化发展的时代特征、充分发挥天宁的区位优势和产业特点，优化养老服务基础保障、激发社会力量广泛参与、深化养老服务改革创新、探索养老服务新业态新模式，推动养老事业和养老产业协同发展，积极探索、实践、创新，打造“常有颐养”的“天字号”示范城区，更好地发挥天宁区在全市养老服务改革发展中的先行示范作用，让老年人获得连续、稳定、专业的养老服务。</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4" w:name="_Toc3188"/>
      <w:bookmarkStart w:id="5" w:name="_Toc4415"/>
      <w:r>
        <w:rPr>
          <w:rFonts w:hint="default" w:ascii="Times New Roman" w:hAnsi="Times New Roman" w:eastAsia="方正黑体_GBK" w:cs="Times New Roman"/>
          <w:color w:val="auto"/>
          <w:sz w:val="32"/>
          <w:szCs w:val="32"/>
        </w:rPr>
        <w:t>三、基本原则</w:t>
      </w:r>
      <w:bookmarkEnd w:id="4"/>
      <w:bookmarkEnd w:id="5"/>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（一）党建引领、多元参与。</w:t>
      </w:r>
      <w:r>
        <w:rPr>
          <w:rFonts w:hint="default" w:ascii="Times New Roman" w:hAnsi="Times New Roman" w:eastAsia="方正仿宋_GBK" w:cs="Times New Roman"/>
          <w:color w:val="auto"/>
          <w:sz w:val="32"/>
          <w:szCs w:val="32"/>
        </w:rPr>
        <w:t>坚持补短板、强弱项与推进高质量发展相协调，充分发挥党委的领导作用、政府的主导作用、社会和市场的参与作用，凝聚养老服务发展的各方合力。坚持补短板、强弱项、促升级，保障人人享有基本养老服务，提升养老服务供给的有效性和可及性。以推动养老服务高质量发展为主题，持续优化供给结构、创新服务模式、提升服务品质，努力满足人民群众日益增长的多层次、多样化养老服务需求。</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（二）以人为本、开放共享。</w:t>
      </w:r>
      <w:r>
        <w:rPr>
          <w:rFonts w:hint="default" w:ascii="Times New Roman" w:hAnsi="Times New Roman" w:eastAsia="方正仿宋_GBK" w:cs="Times New Roman"/>
          <w:color w:val="auto"/>
          <w:sz w:val="32"/>
          <w:szCs w:val="32"/>
        </w:rPr>
        <w:t>坚持强化托底保障与提升适度普惠相结合加快做实困难老人的托底保障，逐步推行面向全体老年人的适度普惠的基本服务。树立共享共建的理念，强化配套措施，确保每个老人都享受基本养老服务。</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（三）统筹兼顾、融合发展。</w:t>
      </w:r>
      <w:r>
        <w:rPr>
          <w:rFonts w:hint="default" w:ascii="Times New Roman" w:hAnsi="Times New Roman" w:eastAsia="方正仿宋_GBK" w:cs="Times New Roman"/>
          <w:color w:val="auto"/>
          <w:sz w:val="32"/>
          <w:szCs w:val="32"/>
        </w:rPr>
        <w:t>坚持养老服务模式协调发展与养老事业产业统筹推进，把握养老服务发展阶段内容，推进养老服务与其它民生协同发展，养老事业产业融合发展，居家社区机构协调发展，医养康养一体发展，城乡养老均衡发展，逐步建立与经济发展水平相适、与社会养老预期相统一的养老服务体系。</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（四）创新驱动、提质增效。</w:t>
      </w:r>
      <w:r>
        <w:rPr>
          <w:rFonts w:hint="default" w:ascii="Times New Roman" w:hAnsi="Times New Roman" w:eastAsia="方正仿宋_GBK" w:cs="Times New Roman"/>
          <w:color w:val="auto"/>
          <w:sz w:val="32"/>
          <w:szCs w:val="32"/>
        </w:rPr>
        <w:t xml:space="preserve">立足解决老年人的急难愁盼问题，深化改革创新，积极探索新思路、新模式、新路径，出台一系列贴近实际发展的政策措施，形成一批有亮点可推广的实践创新成果，促进养老服务质量有效提升。 </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6" w:name="_Toc10002"/>
      <w:bookmarkStart w:id="7" w:name="_Toc26584"/>
      <w:r>
        <w:rPr>
          <w:rFonts w:hint="default" w:ascii="Times New Roman" w:hAnsi="Times New Roman" w:eastAsia="方正黑体_GBK" w:cs="Times New Roman"/>
          <w:color w:val="auto"/>
          <w:sz w:val="32"/>
          <w:szCs w:val="32"/>
        </w:rPr>
        <w:t>四、总体目标</w:t>
      </w:r>
      <w:bookmarkEnd w:id="6"/>
      <w:bookmarkEnd w:id="7"/>
    </w:p>
    <w:p>
      <w:pPr>
        <w:keepNext w:val="0"/>
        <w:keepLines w:val="0"/>
        <w:pageBreakBefore w:val="0"/>
        <w:widowControl w:val="0"/>
        <w:kinsoku/>
        <w:wordWrap/>
        <w:overflowPunct/>
        <w:topLinePunct w:val="0"/>
        <w:autoSpaceDE/>
        <w:autoSpaceDN/>
        <w:bidi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到2025年，形成与经济社会发展水平相协调、与养老服务需求相匹配，居家社区机构相协调、医养康养相结合，主体多元、服务多样、品质优良、区域均衡、监管有力的多层次养老服务体系。制度体系更加健全，服务质量持续提升，要素支撑坚实有力，产业发展成效显著，逐步实现养老服务标准化、社会化、产业化、信息化发展，形成“供给有效、要素保障、产业集聚、平台服务、监管有力”五位一体的养老服务发展新格局，不断提升老年人获得感、幸福感和安全感。</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lang w:eastAsia="zh-CN"/>
        </w:rPr>
        <w:t>（一）</w:t>
      </w:r>
      <w:r>
        <w:rPr>
          <w:rFonts w:hint="default" w:ascii="Times New Roman" w:hAnsi="Times New Roman" w:eastAsia="方正楷体_GBK" w:cs="Times New Roman"/>
          <w:b w:val="0"/>
          <w:bCs/>
          <w:color w:val="auto"/>
          <w:sz w:val="32"/>
          <w:szCs w:val="32"/>
          <w:shd w:val="clear" w:color="auto" w:fill="FFFFFF"/>
        </w:rPr>
        <w:t>供给有效。</w:t>
      </w:r>
      <w:r>
        <w:rPr>
          <w:rFonts w:hint="default" w:ascii="Times New Roman" w:hAnsi="Times New Roman" w:eastAsia="方正仿宋_GBK" w:cs="Times New Roman"/>
          <w:color w:val="auto"/>
          <w:sz w:val="32"/>
          <w:szCs w:val="32"/>
        </w:rPr>
        <w:t>优化“三项融合”，推动兜底保障有力、普</w:t>
      </w:r>
      <w:r>
        <w:rPr>
          <w:rFonts w:hint="default" w:ascii="Times New Roman" w:hAnsi="Times New Roman" w:eastAsia="方正仿宋_GBK" w:cs="Times New Roman"/>
          <w:color w:val="auto"/>
          <w:spacing w:val="-6"/>
          <w:sz w:val="32"/>
          <w:szCs w:val="32"/>
        </w:rPr>
        <w:t>惠服务有效供给、“银发经济”充分发展的多层次养老服务供给体系。</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lang w:eastAsia="zh-CN"/>
        </w:rPr>
        <w:t>（二）</w:t>
      </w:r>
      <w:r>
        <w:rPr>
          <w:rFonts w:hint="default" w:ascii="Times New Roman" w:hAnsi="Times New Roman" w:eastAsia="方正楷体_GBK" w:cs="Times New Roman"/>
          <w:b w:val="0"/>
          <w:bCs/>
          <w:color w:val="auto"/>
          <w:sz w:val="32"/>
          <w:szCs w:val="32"/>
          <w:shd w:val="clear" w:color="auto" w:fill="FFFFFF"/>
        </w:rPr>
        <w:t>要素保障。</w:t>
      </w:r>
      <w:r>
        <w:rPr>
          <w:rFonts w:hint="default" w:ascii="Times New Roman" w:hAnsi="Times New Roman" w:eastAsia="方正仿宋_GBK" w:cs="Times New Roman"/>
          <w:color w:val="auto"/>
          <w:sz w:val="32"/>
          <w:szCs w:val="32"/>
        </w:rPr>
        <w:t>做实养老服务设施、人才、资金、政策等要素保障，为天宁区养老服务高质量发展提供有力支撑。</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lang w:eastAsia="zh-CN"/>
        </w:rPr>
        <w:t>（三）</w:t>
      </w:r>
      <w:r>
        <w:rPr>
          <w:rFonts w:hint="default" w:ascii="Times New Roman" w:hAnsi="Times New Roman" w:eastAsia="方正楷体_GBK" w:cs="Times New Roman"/>
          <w:b w:val="0"/>
          <w:bCs/>
          <w:color w:val="auto"/>
          <w:sz w:val="32"/>
          <w:szCs w:val="32"/>
          <w:shd w:val="clear" w:color="auto" w:fill="FFFFFF"/>
        </w:rPr>
        <w:t>产业集聚。</w:t>
      </w:r>
      <w:r>
        <w:rPr>
          <w:rFonts w:hint="default" w:ascii="Times New Roman" w:hAnsi="Times New Roman" w:eastAsia="方正仿宋_GBK" w:cs="Times New Roman"/>
          <w:color w:val="auto"/>
          <w:sz w:val="32"/>
          <w:szCs w:val="32"/>
        </w:rPr>
        <w:t>以省级健康养老服务业集聚区建设为源动力，大力发展社区养老服务业、智慧养老产业、机构养老品牌化产业化推广等重点领域。</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lang w:eastAsia="zh-CN"/>
        </w:rPr>
        <w:t>（四）</w:t>
      </w:r>
      <w:r>
        <w:rPr>
          <w:rFonts w:hint="default" w:ascii="Times New Roman" w:hAnsi="Times New Roman" w:eastAsia="方正楷体_GBK" w:cs="Times New Roman"/>
          <w:b w:val="0"/>
          <w:bCs/>
          <w:color w:val="auto"/>
          <w:sz w:val="32"/>
          <w:szCs w:val="32"/>
          <w:shd w:val="clear" w:color="auto" w:fill="FFFFFF"/>
        </w:rPr>
        <w:t>平台服务。</w:t>
      </w:r>
      <w:r>
        <w:rPr>
          <w:rFonts w:hint="default" w:ascii="Times New Roman" w:hAnsi="Times New Roman" w:eastAsia="方正仿宋_GBK" w:cs="Times New Roman"/>
          <w:color w:val="auto"/>
          <w:sz w:val="32"/>
          <w:szCs w:val="32"/>
        </w:rPr>
        <w:t>拓展科技助老新模式，</w:t>
      </w:r>
      <w:r>
        <w:rPr>
          <w:rFonts w:hint="default" w:ascii="Times New Roman" w:hAnsi="Times New Roman" w:eastAsia="方正仿宋_GBK" w:cs="Times New Roman"/>
          <w:color w:val="auto"/>
          <w:sz w:val="32"/>
          <w:szCs w:val="32"/>
          <w:lang w:val="en-US" w:eastAsia="zh-CN"/>
        </w:rPr>
        <w:t>完善</w:t>
      </w:r>
      <w:r>
        <w:rPr>
          <w:rFonts w:hint="default" w:ascii="Times New Roman" w:hAnsi="Times New Roman" w:eastAsia="方正仿宋_GBK" w:cs="Times New Roman"/>
          <w:color w:val="auto"/>
          <w:sz w:val="32"/>
          <w:szCs w:val="32"/>
        </w:rPr>
        <w:t>区级智慧养老平台。建设社区服务平台，积极引导社区力量参与养老服务，集聚资源共享、系统整合、广泛参与，实现开放式、嵌入式、融合式的社区服务平台。</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lang w:eastAsia="zh-CN"/>
        </w:rPr>
        <w:t>（五）</w:t>
      </w:r>
      <w:r>
        <w:rPr>
          <w:rFonts w:hint="default" w:ascii="Times New Roman" w:hAnsi="Times New Roman" w:eastAsia="方正楷体_GBK" w:cs="Times New Roman"/>
          <w:b w:val="0"/>
          <w:bCs/>
          <w:color w:val="auto"/>
          <w:sz w:val="32"/>
          <w:szCs w:val="32"/>
          <w:shd w:val="clear" w:color="auto" w:fill="FFFFFF"/>
        </w:rPr>
        <w:t>监管有力。</w:t>
      </w:r>
      <w:r>
        <w:rPr>
          <w:rFonts w:hint="default" w:ascii="Times New Roman" w:hAnsi="Times New Roman" w:eastAsia="方正仿宋_GBK" w:cs="Times New Roman"/>
          <w:color w:val="auto"/>
          <w:sz w:val="32"/>
          <w:szCs w:val="32"/>
        </w:rPr>
        <w:t>对接服务内容、跟踪服务过程、监督服务质量，全面推进养老服务质量、安全和标准化建设，建立健全养老服务综合监管体系。</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8" w:name="_Toc16069"/>
      <w:bookmarkStart w:id="9" w:name="_Toc5972"/>
      <w:r>
        <w:rPr>
          <w:rFonts w:hint="default" w:ascii="Times New Roman" w:hAnsi="Times New Roman" w:eastAsia="方正黑体_GBK" w:cs="Times New Roman"/>
          <w:color w:val="auto"/>
          <w:sz w:val="32"/>
          <w:szCs w:val="32"/>
        </w:rPr>
        <w:t>五、主要任务</w:t>
      </w:r>
      <w:bookmarkEnd w:id="8"/>
      <w:bookmarkEnd w:id="9"/>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（一）着力推进社区居家养老服务</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 大力完善社区养老分级服务体系。</w:t>
      </w:r>
      <w:r>
        <w:rPr>
          <w:rFonts w:hint="default" w:ascii="Times New Roman" w:hAnsi="Times New Roman" w:eastAsia="方正仿宋_GBK" w:cs="Times New Roman"/>
          <w:color w:val="auto"/>
          <w:sz w:val="32"/>
          <w:szCs w:val="32"/>
        </w:rPr>
        <w:t>建成区级养老服务指导中心，负责辖区内养老资源调度、服务质量提升等工作；每个街道（镇）均建成1个具备短期照护、日间照料、医疗服务、助餐助浴、养老顾问等功能为一体的综合性社区居家养老服务中心；所有社区（村）养老服务站点标准化建设率、实体运行率均达100%。同步建成区、街道（镇）、社区（村）三级智慧养老平</w:t>
      </w:r>
      <w:r>
        <w:rPr>
          <w:rFonts w:hint="default" w:ascii="Times New Roman" w:hAnsi="Times New Roman" w:eastAsia="方正仿宋_GBK" w:cs="Times New Roman"/>
          <w:color w:val="auto"/>
          <w:spacing w:val="-11"/>
          <w:sz w:val="32"/>
          <w:szCs w:val="32"/>
        </w:rPr>
        <w:t>台，实现信息互联互通。2025年，街道综合性养老服务中心、街道（镇）日间照料中心、城市社区老年助餐点实现“三个全覆盖”。</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mc:AlternateContent>
          <mc:Choice Requires="wps">
            <w:drawing>
              <wp:anchor distT="0" distB="0" distL="114935" distR="114935" simplePos="0" relativeHeight="251661312" behindDoc="0" locked="0" layoutInCell="1" allowOverlap="1">
                <wp:simplePos x="0" y="0"/>
                <wp:positionH relativeFrom="column">
                  <wp:posOffset>60960</wp:posOffset>
                </wp:positionH>
                <wp:positionV relativeFrom="paragraph">
                  <wp:posOffset>167640</wp:posOffset>
                </wp:positionV>
                <wp:extent cx="5583555" cy="4979035"/>
                <wp:effectExtent l="4445" t="4445" r="12700" b="7620"/>
                <wp:wrapSquare wrapText="bothSides"/>
                <wp:docPr id="2" name="文本框 4"/>
                <wp:cNvGraphicFramePr/>
                <a:graphic xmlns:a="http://schemas.openxmlformats.org/drawingml/2006/main">
                  <a:graphicData uri="http://schemas.microsoft.com/office/word/2010/wordprocessingShape">
                    <wps:wsp>
                      <wps:cNvSpPr txBox="1"/>
                      <wps:spPr>
                        <a:xfrm>
                          <a:off x="0" y="0"/>
                          <a:ext cx="5583555" cy="4979035"/>
                        </a:xfrm>
                        <a:prstGeom prst="rect">
                          <a:avLst/>
                        </a:prstGeom>
                        <a:no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beforeLines="50" w:afterLines="50"/>
                              <w:jc w:val="center"/>
                              <w:textAlignment w:val="auto"/>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专栏1：街道（镇）综合性养老服务中心项目</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b/>
                                <w:bCs/>
                                <w:sz w:val="28"/>
                                <w:szCs w:val="28"/>
                              </w:rPr>
                              <w:t>布点</w:t>
                            </w:r>
                            <w:r>
                              <w:rPr>
                                <w:rFonts w:hint="default" w:ascii="Times New Roman" w:hAnsi="Times New Roman" w:eastAsia="方正仿宋_GBK" w:cs="Times New Roman"/>
                                <w:sz w:val="28"/>
                                <w:szCs w:val="28"/>
                              </w:rPr>
                              <w:t>：每个街道（镇）建设1个具备短期照护、日间照料、医疗服务、助餐助浴、上门服务、统筹调配资源等综合功能的综合性养老服务中心；每个社区设置1家具备日间照料、上门服务、助餐配餐等功能的标准化养老服务站。</w:t>
                            </w:r>
                            <w:r>
                              <w:rPr>
                                <w:rFonts w:hint="default" w:ascii="Times New Roman" w:hAnsi="Times New Roman" w:eastAsia="方正仿宋_GBK" w:cs="Times New Roman"/>
                                <w:color w:val="000000" w:themeColor="text1"/>
                                <w:sz w:val="28"/>
                                <w:szCs w:val="28"/>
                                <w14:textFill>
                                  <w14:solidFill>
                                    <w14:schemeClr w14:val="tx1"/>
                                  </w14:solidFill>
                                </w14:textFill>
                              </w:rPr>
                              <w:t>布点选址要突出便利和资源整合，鼓励与就近的医疗、餐饮等机构开展多元合作。</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b/>
                                <w:bCs/>
                                <w:color w:val="000000" w:themeColor="text1"/>
                                <w:sz w:val="28"/>
                                <w:szCs w:val="28"/>
                                <w14:textFill>
                                  <w14:solidFill>
                                    <w14:schemeClr w14:val="tx1"/>
                                  </w14:solidFill>
                                </w14:textFill>
                              </w:rPr>
                              <w:t>目标：</w:t>
                            </w:r>
                            <w:r>
                              <w:rPr>
                                <w:rFonts w:hint="default" w:ascii="Times New Roman" w:hAnsi="Times New Roman" w:eastAsia="方正仿宋_GBK" w:cs="Times New Roman"/>
                                <w:color w:val="000000" w:themeColor="text1"/>
                                <w:sz w:val="28"/>
                                <w:szCs w:val="28"/>
                                <w14:textFill>
                                  <w14:solidFill>
                                    <w14:schemeClr w14:val="tx1"/>
                                  </w14:solidFill>
                                </w14:textFill>
                              </w:rPr>
                              <w:t>形成“1+N”服务网络，增加嵌入式、综合性、多功能优质养老服务供给，为街道（镇）老年人提供全托、日托、助餐配餐、医养康养、家政服务、适老化改造、家庭养老床位等服务。</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8"/>
                                <w:szCs w:val="28"/>
                                <w14:textFill>
                                  <w14:solidFill>
                                    <w14:schemeClr w14:val="tx1"/>
                                  </w14:solidFill>
                                </w14:textFill>
                              </w:rPr>
                              <w:t>标准：</w:t>
                            </w:r>
                            <w:r>
                              <w:rPr>
                                <w:rFonts w:hint="default" w:ascii="Times New Roman" w:hAnsi="Times New Roman" w:eastAsia="方正仿宋_GBK" w:cs="Times New Roman"/>
                                <w:color w:val="000000" w:themeColor="text1"/>
                                <w:sz w:val="28"/>
                                <w:szCs w:val="28"/>
                                <w14:textFill>
                                  <w14:solidFill>
                                    <w14:schemeClr w14:val="tx1"/>
                                  </w14:solidFill>
                                </w14:textFill>
                              </w:rPr>
                              <w:t>《江苏省城市街道综合性养老服务中心建设及运营规范》（苏民养老〔2021〕22号），常州市社区居家养老服务中心等级评定标准（常民福〔20</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18</w:t>
                            </w:r>
                            <w:r>
                              <w:rPr>
                                <w:rFonts w:hint="default" w:ascii="Times New Roman" w:hAnsi="Times New Roman" w:eastAsia="方正仿宋_GBK" w:cs="Times New Roman"/>
                                <w:color w:val="000000" w:themeColor="text1"/>
                                <w:sz w:val="28"/>
                                <w:szCs w:val="28"/>
                                <w14:textFill>
                                  <w14:solidFill>
                                    <w14:schemeClr w14:val="tx1"/>
                                  </w14:solidFill>
                                </w14:textFill>
                              </w:rPr>
                              <w:t>〕17号），街道（乡镇）老年人日间照料中心建设标准（常老办〔20</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16</w:t>
                            </w:r>
                            <w:r>
                              <w:rPr>
                                <w:rFonts w:hint="default" w:ascii="Times New Roman" w:hAnsi="Times New Roman" w:eastAsia="方正仿宋_GBK" w:cs="Times New Roman"/>
                                <w:color w:val="000000" w:themeColor="text1"/>
                                <w:sz w:val="28"/>
                                <w:szCs w:val="28"/>
                                <w14:textFill>
                                  <w14:solidFill>
                                    <w14:schemeClr w14:val="tx1"/>
                                  </w14:solidFill>
                                </w14:textFill>
                              </w:rPr>
                              <w:t>〕4号）</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w:t>
                            </w:r>
                          </w:p>
                        </w:txbxContent>
                      </wps:txbx>
                      <wps:bodyPr upright="1"/>
                    </wps:wsp>
                  </a:graphicData>
                </a:graphic>
              </wp:anchor>
            </w:drawing>
          </mc:Choice>
          <mc:Fallback>
            <w:pict>
              <v:shape id="文本框 4" o:spid="_x0000_s1026" o:spt="202" type="#_x0000_t202" style="position:absolute;left:0pt;margin-left:4.8pt;margin-top:13.2pt;height:392.05pt;width:439.65pt;mso-wrap-distance-bottom:0pt;mso-wrap-distance-left:9.05pt;mso-wrap-distance-right:9.05pt;mso-wrap-distance-top:0pt;z-index:251661312;mso-width-relative:page;mso-height-relative:page;" filled="f" stroked="t" coordsize="21600,21600" o:gfxdata="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S5eltYAAAAIAQAADwAAAAAAAAABACAAAAAi&#10;AAAAZHJzL2Rvd25yZXYueG1sUEsBAhQAFAAAAAgAh07iQLdKQvoMAgAAHAQAAA4AAAAAAAAAAQAg&#10;AAAAJQEAAGRycy9lMm9Eb2MueG1sUEsFBgAAAAAGAAYAWQEAAKMFA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50" w:afterLines="50"/>
                        <w:jc w:val="center"/>
                        <w:textAlignment w:val="auto"/>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专栏1：街道（镇）综合性养老服务中心项目</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b/>
                          <w:bCs/>
                          <w:sz w:val="28"/>
                          <w:szCs w:val="28"/>
                        </w:rPr>
                        <w:t>布点</w:t>
                      </w:r>
                      <w:r>
                        <w:rPr>
                          <w:rFonts w:hint="default" w:ascii="Times New Roman" w:hAnsi="Times New Roman" w:eastAsia="方正仿宋_GBK" w:cs="Times New Roman"/>
                          <w:sz w:val="28"/>
                          <w:szCs w:val="28"/>
                        </w:rPr>
                        <w:t>：每个街道（镇）建设1个具备短期照护、日间照料、医疗服务、助餐助浴、上门服务、统筹调配资源等综合功能的综合性养老服务中心；每个社区设置1家具备日间照料、上门服务、助餐配餐等功能的标准化养老服务站。</w:t>
                      </w:r>
                      <w:r>
                        <w:rPr>
                          <w:rFonts w:hint="default" w:ascii="Times New Roman" w:hAnsi="Times New Roman" w:eastAsia="方正仿宋_GBK" w:cs="Times New Roman"/>
                          <w:color w:val="000000" w:themeColor="text1"/>
                          <w:sz w:val="28"/>
                          <w:szCs w:val="28"/>
                          <w14:textFill>
                            <w14:solidFill>
                              <w14:schemeClr w14:val="tx1"/>
                            </w14:solidFill>
                          </w14:textFill>
                        </w:rPr>
                        <w:t>布点选址要突出便利和资源整合，鼓励与就近的医疗、餐饮等机构开展多元合作。</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b/>
                          <w:bCs/>
                          <w:color w:val="000000" w:themeColor="text1"/>
                          <w:sz w:val="28"/>
                          <w:szCs w:val="28"/>
                          <w14:textFill>
                            <w14:solidFill>
                              <w14:schemeClr w14:val="tx1"/>
                            </w14:solidFill>
                          </w14:textFill>
                        </w:rPr>
                        <w:t>目标：</w:t>
                      </w:r>
                      <w:r>
                        <w:rPr>
                          <w:rFonts w:hint="default" w:ascii="Times New Roman" w:hAnsi="Times New Roman" w:eastAsia="方正仿宋_GBK" w:cs="Times New Roman"/>
                          <w:color w:val="000000" w:themeColor="text1"/>
                          <w:sz w:val="28"/>
                          <w:szCs w:val="28"/>
                          <w14:textFill>
                            <w14:solidFill>
                              <w14:schemeClr w14:val="tx1"/>
                            </w14:solidFill>
                          </w14:textFill>
                        </w:rPr>
                        <w:t>形成“1+N”服务网络，增加嵌入式、综合性、多功能优质养老服务供给，为街道（镇）老年人提供全托、日托、助餐配餐、医养康养、家政服务、适老化改造、家庭养老床位等服务。</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b/>
                          <w:bCs/>
                          <w:color w:val="000000" w:themeColor="text1"/>
                          <w:sz w:val="28"/>
                          <w:szCs w:val="28"/>
                          <w14:textFill>
                            <w14:solidFill>
                              <w14:schemeClr w14:val="tx1"/>
                            </w14:solidFill>
                          </w14:textFill>
                        </w:rPr>
                        <w:t>标准：</w:t>
                      </w:r>
                      <w:r>
                        <w:rPr>
                          <w:rFonts w:hint="default" w:ascii="Times New Roman" w:hAnsi="Times New Roman" w:eastAsia="方正仿宋_GBK" w:cs="Times New Roman"/>
                          <w:color w:val="000000" w:themeColor="text1"/>
                          <w:sz w:val="28"/>
                          <w:szCs w:val="28"/>
                          <w14:textFill>
                            <w14:solidFill>
                              <w14:schemeClr w14:val="tx1"/>
                            </w14:solidFill>
                          </w14:textFill>
                        </w:rPr>
                        <w:t>《江苏省城市街道综合性养老服务中心建设及运营规范》（苏民养老〔2021〕22号），常州市社区居家养老服务中心等级评定标准（常民福〔20</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18</w:t>
                      </w:r>
                      <w:r>
                        <w:rPr>
                          <w:rFonts w:hint="default" w:ascii="Times New Roman" w:hAnsi="Times New Roman" w:eastAsia="方正仿宋_GBK" w:cs="Times New Roman"/>
                          <w:color w:val="000000" w:themeColor="text1"/>
                          <w:sz w:val="28"/>
                          <w:szCs w:val="28"/>
                          <w14:textFill>
                            <w14:solidFill>
                              <w14:schemeClr w14:val="tx1"/>
                            </w14:solidFill>
                          </w14:textFill>
                        </w:rPr>
                        <w:t>〕17号），街道（乡镇）老年人日间照料中心建设标准（常老办〔20</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16</w:t>
                      </w:r>
                      <w:r>
                        <w:rPr>
                          <w:rFonts w:hint="default" w:ascii="Times New Roman" w:hAnsi="Times New Roman" w:eastAsia="方正仿宋_GBK" w:cs="Times New Roman"/>
                          <w:color w:val="000000" w:themeColor="text1"/>
                          <w:sz w:val="28"/>
                          <w:szCs w:val="28"/>
                          <w14:textFill>
                            <w14:solidFill>
                              <w14:schemeClr w14:val="tx1"/>
                            </w14:solidFill>
                          </w14:textFill>
                        </w:rPr>
                        <w:t>〕4号）</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w:t>
                      </w:r>
                    </w:p>
                  </w:txbxContent>
                </v:textbox>
                <w10:wrap type="square"/>
              </v:shape>
            </w:pict>
          </mc:Fallback>
        </mc:AlternateContent>
      </w:r>
      <w:r>
        <w:rPr>
          <w:rFonts w:hint="default" w:ascii="Times New Roman" w:hAnsi="Times New Roman" w:eastAsia="方正仿宋_GBK" w:cs="Times New Roman"/>
          <w:b/>
          <w:bCs/>
          <w:color w:val="auto"/>
          <w:sz w:val="32"/>
          <w:szCs w:val="32"/>
          <w:lang w:val="en-US" w:eastAsia="zh-CN"/>
        </w:rPr>
        <w:t>2. 丰富社区养老服务业态。</w:t>
      </w:r>
      <w:r>
        <w:rPr>
          <w:rFonts w:hint="default" w:ascii="Times New Roman" w:hAnsi="Times New Roman" w:eastAsia="方正仿宋_GBK" w:cs="Times New Roman"/>
          <w:b w:val="0"/>
          <w:bCs w:val="0"/>
          <w:color w:val="auto"/>
          <w:sz w:val="32"/>
          <w:szCs w:val="32"/>
          <w:lang w:val="en-US" w:eastAsia="zh-CN"/>
        </w:rPr>
        <w:t>创建示范养老社区。选取3-5个</w:t>
      </w:r>
      <w:r>
        <w:rPr>
          <w:rFonts w:hint="default" w:ascii="Times New Roman" w:hAnsi="Times New Roman" w:eastAsia="方正仿宋_GBK" w:cs="Times New Roman"/>
          <w:b w:val="0"/>
          <w:bCs w:val="0"/>
          <w:color w:val="auto"/>
          <w:sz w:val="32"/>
          <w:szCs w:val="32"/>
        </w:rPr>
        <w:t>社区创建养老服务</w:t>
      </w:r>
      <w:r>
        <w:rPr>
          <w:rFonts w:hint="default" w:ascii="Times New Roman" w:hAnsi="Times New Roman" w:eastAsia="方正仿宋_GBK" w:cs="Times New Roman"/>
          <w:color w:val="auto"/>
          <w:sz w:val="32"/>
          <w:szCs w:val="32"/>
        </w:rPr>
        <w:t>示范社区，试点养老生活体验中心、家庭照护床位、适老化改造建设、养老顾问等特色养老服务社区，提供就近、便利、优质的社区居家养老服务，满足老年人生活照料、康复护理、精神慰藉等多层次、多样化、个性化需求；优化社区养老服务方式。开展定制化服务，摸清老年人需求，拓展服务内涵，即要有基础服务包，同时探索定制化服务，建立定制化服务项目清单，提供贴近老年人需求的个性化服务；完善社区基本养老服务。重点关注经济困难、高龄、失能失智、计划生育特殊家庭、独居老人等重点人群，对全区特殊困难老人进行普查摸底，建立动态信息数据库，制定困难老人服务需求清单，开展助餐助浴、日托、全托等多项保基本服务。提升社区服务能力。不断优化拓展服务功能，引导有实力的养老机构，将专业照护、康复护理、助餐、助浴、人员培训等服务向社区和居家延伸。开展互助养老服务。推进养老服务“时间银行”志愿服务。鼓励低龄健康老年人为高龄、独居老年人服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3. 提升居家养老服务实效。</w:t>
      </w:r>
      <w:r>
        <w:rPr>
          <w:rFonts w:hint="default" w:ascii="Times New Roman" w:hAnsi="Times New Roman" w:eastAsia="方正仿宋_GBK" w:cs="Times New Roman"/>
          <w:color w:val="auto"/>
          <w:sz w:val="32"/>
          <w:szCs w:val="32"/>
        </w:rPr>
        <w:t>常态化开展居家上门援助服务、适老化改造、家庭养老床位三大为民办实事工程。通过购买服务、公益创投等方式扩大为老上门援助服务受益人群，其中80岁以上老人居家上门服务全覆盖；完善居家适老化改造制度规范，遵循“一人一策”“一户一设计”原则，采取“改造+适配”灵活组合的方式，为老年人定制个性化改造方案；在全区范围普及家庭养老床位，出台家庭养老床位建设和运营的扶持政策，鼓励连锁化品牌化经营、服务质量高的养老企业和机构参与家庭养老床位建设。</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mc:AlternateContent>
          <mc:Choice Requires="wps">
            <w:drawing>
              <wp:anchor distT="0" distB="0" distL="114935" distR="114935" simplePos="0" relativeHeight="251662336" behindDoc="0" locked="0" layoutInCell="1" allowOverlap="1">
                <wp:simplePos x="0" y="0"/>
                <wp:positionH relativeFrom="column">
                  <wp:posOffset>-4445</wp:posOffset>
                </wp:positionH>
                <wp:positionV relativeFrom="paragraph">
                  <wp:posOffset>65405</wp:posOffset>
                </wp:positionV>
                <wp:extent cx="5658485" cy="2080895"/>
                <wp:effectExtent l="4445" t="5080" r="13970" b="9525"/>
                <wp:wrapSquare wrapText="bothSides"/>
                <wp:docPr id="3" name="文本框 5"/>
                <wp:cNvGraphicFramePr/>
                <a:graphic xmlns:a="http://schemas.openxmlformats.org/drawingml/2006/main">
                  <a:graphicData uri="http://schemas.microsoft.com/office/word/2010/wordprocessingShape">
                    <wps:wsp>
                      <wps:cNvSpPr txBox="1"/>
                      <wps:spPr>
                        <a:xfrm>
                          <a:off x="0" y="0"/>
                          <a:ext cx="5658485" cy="2080895"/>
                        </a:xfrm>
                        <a:prstGeom prst="rect">
                          <a:avLst/>
                        </a:prstGeom>
                        <a:noFill/>
                        <a:ln w="9525" cap="flat" cmpd="sng">
                          <a:solidFill>
                            <a:srgbClr val="000000"/>
                          </a:solidFill>
                          <a:prstDash val="solid"/>
                          <a:miter/>
                          <a:headEnd type="none" w="med" len="med"/>
                          <a:tailEnd type="none" w="med" len="med"/>
                        </a:ln>
                        <a:effectLst/>
                      </wps:spPr>
                      <wps:txbx>
                        <w:txbxContent>
                          <w:p>
                            <w:pPr>
                              <w:spacing w:beforeLines="50" w:afterLines="50"/>
                              <w:jc w:val="center"/>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专栏2：居家适老化改造项目</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以户为单位，支持有改造需求</w:t>
                            </w:r>
                            <w:r>
                              <w:rPr>
                                <w:rFonts w:hint="default" w:ascii="Times New Roman" w:hAnsi="Times New Roman" w:eastAsia="方正仿宋_GBK" w:cs="Times New Roman"/>
                                <w:sz w:val="28"/>
                                <w:szCs w:val="28"/>
                                <w:lang w:val="en-US" w:eastAsia="zh-CN"/>
                              </w:rPr>
                              <w:t>并符合条件</w:t>
                            </w:r>
                            <w:r>
                              <w:rPr>
                                <w:rFonts w:hint="default" w:ascii="Times New Roman" w:hAnsi="Times New Roman" w:eastAsia="方正仿宋_GBK" w:cs="Times New Roman"/>
                                <w:sz w:val="28"/>
                                <w:szCs w:val="28"/>
                              </w:rPr>
                              <w:t>的老年人家庭实施居家适老化改造，为老年人提供安全、舒适、便利的居家养老环境。</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到2025年底，有适老化改造需求并符合条件的老年人家庭全部完成改造。</w:t>
                            </w:r>
                          </w:p>
                        </w:txbxContent>
                      </wps:txbx>
                      <wps:bodyPr upright="1"/>
                    </wps:wsp>
                  </a:graphicData>
                </a:graphic>
              </wp:anchor>
            </w:drawing>
          </mc:Choice>
          <mc:Fallback>
            <w:pict>
              <v:shape id="文本框 5" o:spid="_x0000_s1026" o:spt="202" type="#_x0000_t202" style="position:absolute;left:0pt;margin-left:-0.35pt;margin-top:5.15pt;height:163.85pt;width:445.55pt;mso-wrap-distance-bottom:0pt;mso-wrap-distance-left:9.05pt;mso-wrap-distance-right:9.05pt;mso-wrap-distance-top:0pt;z-index:251662336;mso-width-relative:page;mso-height-relative:page;" filled="f" stroked="t" coordsize="21600,21600" o:gfxdata="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K1ko9YAAAAIAQAADwAAAAAAAAABACAAAAAi&#10;AAAAZHJzL2Rvd25yZXYueG1sUEsBAhQAFAAAAAgAh07iQDPc7ccMAgAAHAQAAA4AAAAAAAAAAQAg&#10;AAAAJQEAAGRycy9lMm9Eb2MueG1sUEsFBgAAAAAGAAYAWQEAAKMFAAAAAA==&#10;">
                <v:fill on="f" focussize="0,0"/>
                <v:stroke color="#000000" joinstyle="miter"/>
                <v:imagedata o:title=""/>
                <o:lock v:ext="edit" aspectratio="f"/>
                <v:textbox>
                  <w:txbxContent>
                    <w:p>
                      <w:pPr>
                        <w:spacing w:beforeLines="50" w:afterLines="50"/>
                        <w:jc w:val="center"/>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专栏2：居家适老化改造项目</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以户为单位，支持有改造需求</w:t>
                      </w:r>
                      <w:r>
                        <w:rPr>
                          <w:rFonts w:hint="default" w:ascii="Times New Roman" w:hAnsi="Times New Roman" w:eastAsia="方正仿宋_GBK" w:cs="Times New Roman"/>
                          <w:sz w:val="28"/>
                          <w:szCs w:val="28"/>
                          <w:lang w:val="en-US" w:eastAsia="zh-CN"/>
                        </w:rPr>
                        <w:t>并符合条件</w:t>
                      </w:r>
                      <w:r>
                        <w:rPr>
                          <w:rFonts w:hint="default" w:ascii="Times New Roman" w:hAnsi="Times New Roman" w:eastAsia="方正仿宋_GBK" w:cs="Times New Roman"/>
                          <w:sz w:val="28"/>
                          <w:szCs w:val="28"/>
                        </w:rPr>
                        <w:t>的老年人家庭实施居家适老化改造，为老年人提供安全、舒适、便利的居家养老环境。</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到2025年底，有适老化改造需求并符合条件的老年人家庭全部完成改造。</w:t>
                      </w:r>
                    </w:p>
                  </w:txbxContent>
                </v:textbox>
                <w10:wrap type="square"/>
              </v:shape>
            </w:pict>
          </mc:Fallback>
        </mc:AlternateContent>
      </w:r>
      <w:r>
        <w:rPr>
          <w:rFonts w:hint="default" w:ascii="Times New Roman" w:hAnsi="Times New Roman" w:eastAsia="方正仿宋_GBK" w:cs="Times New Roman"/>
          <w:b/>
          <w:bCs/>
          <w:color w:val="auto"/>
          <w:sz w:val="32"/>
          <w:szCs w:val="32"/>
          <w:lang w:val="en-US" w:eastAsia="zh-CN"/>
        </w:rPr>
        <w:t>4.</w:t>
      </w:r>
      <w:r>
        <w:rPr>
          <w:rFonts w:hint="default" w:ascii="Times New Roman" w:hAnsi="Times New Roman" w:eastAsia="方正仿宋_GBK" w:cs="Times New Roman"/>
          <w:b/>
          <w:bCs/>
          <w:color w:val="auto"/>
          <w:sz w:val="32"/>
          <w:szCs w:val="32"/>
        </w:rPr>
        <w:t xml:space="preserve"> 积极培育养老服务社会组织。</w:t>
      </w:r>
      <w:r>
        <w:rPr>
          <w:rFonts w:hint="default" w:ascii="Times New Roman" w:hAnsi="Times New Roman" w:eastAsia="方正仿宋_GBK" w:cs="Times New Roman"/>
          <w:b w:val="0"/>
          <w:bCs w:val="0"/>
          <w:color w:val="auto"/>
          <w:sz w:val="32"/>
          <w:szCs w:val="32"/>
        </w:rPr>
        <w:t>发挥社会组织的主观能动性，</w:t>
      </w:r>
      <w:r>
        <w:rPr>
          <w:rFonts w:hint="default" w:ascii="Times New Roman" w:hAnsi="Times New Roman" w:eastAsia="方正仿宋_GBK" w:cs="Times New Roman"/>
          <w:color w:val="auto"/>
          <w:sz w:val="32"/>
          <w:szCs w:val="32"/>
        </w:rPr>
        <w:t>大力支持社会组织参与开展质量评估、标准制定、宣传培训以及运营管理等服务。加快发展为老服务公益慈善组织。探索建立区级养老服务社会组织专家库，吸纳一批优秀、专业的养老服务社会组织入库，鼓励社会力量参与养老服务工作，管理运营居家和社区养老服务设施，使社会力量成为提供居家和社区养老服务的主力军。</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（二）大力提升机构养老服务能级</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5. 建立标准化养老服务管理体系。</w:t>
      </w:r>
      <w:r>
        <w:rPr>
          <w:rFonts w:hint="default" w:ascii="Times New Roman" w:hAnsi="Times New Roman" w:eastAsia="方正仿宋_GBK" w:cs="Times New Roman"/>
          <w:color w:val="auto"/>
          <w:sz w:val="32"/>
          <w:szCs w:val="32"/>
          <w:lang w:val="en-US" w:eastAsia="zh-CN"/>
        </w:rPr>
        <w:t>鼓励国有公司参与养老机构的建设和运营，</w:t>
      </w:r>
      <w:r>
        <w:rPr>
          <w:rFonts w:hint="default" w:ascii="Times New Roman" w:hAnsi="Times New Roman" w:eastAsia="方正仿宋_GBK" w:cs="Times New Roman"/>
          <w:color w:val="auto"/>
          <w:sz w:val="32"/>
          <w:szCs w:val="32"/>
        </w:rPr>
        <w:t>发挥</w:t>
      </w:r>
      <w:r>
        <w:rPr>
          <w:rFonts w:hint="default" w:ascii="Times New Roman" w:hAnsi="Times New Roman" w:eastAsia="方正仿宋_GBK" w:cs="Times New Roman"/>
          <w:color w:val="auto"/>
          <w:sz w:val="32"/>
          <w:szCs w:val="32"/>
          <w:lang w:val="en-US" w:eastAsia="zh-CN"/>
        </w:rPr>
        <w:t>各类</w:t>
      </w:r>
      <w:r>
        <w:rPr>
          <w:rFonts w:hint="default" w:ascii="Times New Roman" w:hAnsi="Times New Roman" w:eastAsia="方正仿宋_GBK" w:cs="Times New Roman"/>
          <w:color w:val="auto"/>
          <w:sz w:val="32"/>
          <w:szCs w:val="32"/>
        </w:rPr>
        <w:t>优质养老机构的引领带动作用，输出优质的机构运营管理经验，建立标准化的可复制的养老机构运营体系，打造一</w:t>
      </w:r>
      <w:r>
        <w:rPr>
          <w:rFonts w:hint="default" w:ascii="Times New Roman" w:hAnsi="Times New Roman" w:eastAsia="方正仿宋_GBK" w:cs="Times New Roman"/>
          <w:color w:val="auto"/>
          <w:sz w:val="32"/>
          <w:szCs w:val="32"/>
          <w:lang w:val="en-US" w:eastAsia="zh-CN"/>
        </w:rPr>
        <w:t>些</w:t>
      </w:r>
      <w:r>
        <w:rPr>
          <w:rFonts w:hint="default" w:ascii="Times New Roman" w:hAnsi="Times New Roman" w:eastAsia="方正仿宋_GBK" w:cs="Times New Roman"/>
          <w:color w:val="auto"/>
          <w:sz w:val="32"/>
          <w:szCs w:val="32"/>
        </w:rPr>
        <w:t>可复制、强输出、快诊断、易接手的标准化专业运营团队，建树机构养老服务管理典范，帮助有需求的机构进行问题梳理、规范建设、管理输出、标准提升、上轨运营，着力提高养老机构的服务能力、管理水平和运行效率，推动养老服务均衡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6. 建立标准化智慧养老院。</w:t>
      </w:r>
      <w:r>
        <w:rPr>
          <w:rFonts w:hint="default" w:ascii="Times New Roman" w:hAnsi="Times New Roman" w:eastAsia="方正仿宋_GBK" w:cs="Times New Roman"/>
          <w:color w:val="auto"/>
          <w:sz w:val="32"/>
          <w:szCs w:val="32"/>
        </w:rPr>
        <w:t>整合各项信息和为老服务需求，通过智慧养老系统以及物联网设备的应用，建立智能化监管服务、智能化床位服务、智能化看护服务、智能化安防服务等四位一体的智慧养老院，实现家属、养老机构、医疗机构三级联动，降低意外风险。通过网络联动、资源共享、信息化管理服务输出降低机构运营管理成本。</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7. 提升机构养老服务质量。</w:t>
      </w:r>
      <w:r>
        <w:rPr>
          <w:rFonts w:hint="default" w:ascii="Times New Roman" w:hAnsi="Times New Roman" w:eastAsia="方正仿宋_GBK" w:cs="Times New Roman"/>
          <w:color w:val="auto"/>
          <w:sz w:val="32"/>
          <w:szCs w:val="32"/>
        </w:rPr>
        <w:t>全面落实《养老机构管理办法》，开展养老机构精细化服务提升行动，提高养老机构管理服务质量，规范养老机构运营秩序，鼓励养老机构主动参与等级评定，提升服务质量、拓展服务内涵，全区养老机构实现医养融合发展全覆盖，护理型床位、社会化运营床位比例均保持在80%以上。压实养老机构安全管理主体责任，全区养老机构安全标准化管理达标创建率达100%。</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mc:AlternateContent>
          <mc:Choice Requires="wps">
            <w:drawing>
              <wp:anchor distT="0" distB="0" distL="114935" distR="114935" simplePos="0" relativeHeight="251660288" behindDoc="0" locked="0" layoutInCell="1" allowOverlap="1">
                <wp:simplePos x="0" y="0"/>
                <wp:positionH relativeFrom="column">
                  <wp:posOffset>64135</wp:posOffset>
                </wp:positionH>
                <wp:positionV relativeFrom="paragraph">
                  <wp:posOffset>41275</wp:posOffset>
                </wp:positionV>
                <wp:extent cx="5583555" cy="2532380"/>
                <wp:effectExtent l="4445" t="4445" r="12700" b="15875"/>
                <wp:wrapTopAndBottom/>
                <wp:docPr id="1" name="文本框 3"/>
                <wp:cNvGraphicFramePr/>
                <a:graphic xmlns:a="http://schemas.openxmlformats.org/drawingml/2006/main">
                  <a:graphicData uri="http://schemas.microsoft.com/office/word/2010/wordprocessingShape">
                    <wps:wsp>
                      <wps:cNvSpPr txBox="1"/>
                      <wps:spPr>
                        <a:xfrm>
                          <a:off x="0" y="0"/>
                          <a:ext cx="5583555" cy="2532380"/>
                        </a:xfrm>
                        <a:prstGeom prst="rect">
                          <a:avLst/>
                        </a:prstGeom>
                        <a:noFill/>
                        <a:ln w="9525" cap="flat" cmpd="sng">
                          <a:solidFill>
                            <a:srgbClr val="000000"/>
                          </a:solidFill>
                          <a:prstDash val="solid"/>
                          <a:miter/>
                          <a:headEnd type="none" w="med" len="med"/>
                          <a:tailEnd type="none" w="med" len="med"/>
                        </a:ln>
                        <a:effectLst/>
                      </wps:spPr>
                      <wps:txbx>
                        <w:txbxContent>
                          <w:p>
                            <w:pPr>
                              <w:spacing w:beforeLines="50" w:afterLines="50"/>
                              <w:jc w:val="center"/>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专栏3：养老服务人才倍优增量项目</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鼓励养老服务机构负责人、养老护理员、健康照护师等参加养老行业工作人员资质、等级认定等方面培训；成立区级居家养老服务指导中心，镇街道配齐配强工作力量，培育社区养老服务人才队伍。</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养老护理员岗前培训率达100%，通过职业技能等级认定的养老护理员占比保持在80%以上。</w:t>
                            </w:r>
                          </w:p>
                        </w:txbxContent>
                      </wps:txbx>
                      <wps:bodyPr upright="1"/>
                    </wps:wsp>
                  </a:graphicData>
                </a:graphic>
              </wp:anchor>
            </w:drawing>
          </mc:Choice>
          <mc:Fallback>
            <w:pict>
              <v:shape id="文本框 3" o:spid="_x0000_s1026" o:spt="202" type="#_x0000_t202" style="position:absolute;left:0pt;margin-left:5.05pt;margin-top:3.25pt;height:199.4pt;width:439.65pt;mso-wrap-distance-bottom:0pt;mso-wrap-distance-top:0pt;z-index:251660288;mso-width-relative:page;mso-height-relative:page;" filled="f" stroked="t" coordsize="21600,21600" o:gfxdata="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CSI/1gAAAAgBAAAPAAAAAAAAAAEAIAAAACIA&#10;AABkcnMvZG93bnJldi54bWxQSwECFAAUAAAACACHTuJA3U8lHwsCAAAcBAAADgAAAAAAAAABACAA&#10;AAAlAQAAZHJzL2Uyb0RvYy54bWxQSwUGAAAAAAYABgBZAQAAogUAAAAA&#10;">
                <v:fill on="f" focussize="0,0"/>
                <v:stroke color="#000000" joinstyle="miter"/>
                <v:imagedata o:title=""/>
                <o:lock v:ext="edit" aspectratio="f"/>
                <v:textbox>
                  <w:txbxContent>
                    <w:p>
                      <w:pPr>
                        <w:spacing w:beforeLines="50" w:afterLines="50"/>
                        <w:jc w:val="center"/>
                        <w:rPr>
                          <w:rFonts w:hint="default" w:ascii="Times New Roman" w:hAnsi="Times New Roman" w:eastAsia="方正黑体_GBK" w:cs="Times New Roman"/>
                          <w:color w:val="000000"/>
                          <w:sz w:val="28"/>
                          <w:szCs w:val="28"/>
                          <w:shd w:val="clear" w:color="auto" w:fill="FFFFFF"/>
                        </w:rPr>
                      </w:pPr>
                      <w:r>
                        <w:rPr>
                          <w:rFonts w:hint="default" w:ascii="Times New Roman" w:hAnsi="Times New Roman" w:eastAsia="方正黑体_GBK" w:cs="Times New Roman"/>
                          <w:color w:val="000000"/>
                          <w:sz w:val="28"/>
                          <w:szCs w:val="28"/>
                          <w:shd w:val="clear" w:color="auto" w:fill="FFFFFF"/>
                        </w:rPr>
                        <w:t>专栏3：养老服务人才倍优增量项目</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鼓励养老服务机构负责人、养老护理员、健康照护师等参加养老行业工作人员资质、等级认定等方面培训；成立区级居家养老服务指导中心，镇街道配齐配强工作力量，培育社区养老服务人才队伍。</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养老护理员岗前培训率达100%，通过职业技能等级认定的养老护理员占比保持在80%以上。</w:t>
                      </w:r>
                    </w:p>
                  </w:txbxContent>
                </v:textbox>
                <w10:wrap type="topAndBottom"/>
              </v:shape>
            </w:pict>
          </mc:Fallback>
        </mc:AlternateContent>
      </w:r>
      <w:r>
        <w:rPr>
          <w:rFonts w:hint="default" w:ascii="Times New Roman" w:hAnsi="Times New Roman" w:eastAsia="方正楷体_GBK" w:cs="Times New Roman"/>
          <w:b w:val="0"/>
          <w:bCs/>
          <w:color w:val="auto"/>
          <w:sz w:val="32"/>
          <w:szCs w:val="32"/>
          <w:shd w:val="clear" w:color="auto" w:fill="FFFFFF"/>
        </w:rPr>
        <w:t>（三）积极培育养老服务产业</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8. 产业供给提档升级。</w:t>
      </w:r>
      <w:r>
        <w:rPr>
          <w:rFonts w:hint="default" w:ascii="Times New Roman" w:hAnsi="Times New Roman" w:eastAsia="方正仿宋_GBK" w:cs="Times New Roman"/>
          <w:color w:val="auto"/>
          <w:sz w:val="32"/>
          <w:szCs w:val="32"/>
        </w:rPr>
        <w:t>持续推进省级健康养老服务业集聚区建设，不断拓展集聚区发展空间、内涵，引领、带动天宁养老服务水平整体提升，以产业化、市场化的思维，引进多层次、多样化、个性化的养老服务产业供给，以集聚区核心区建设带动周边养老服务产业发展。按照李克强总理提出的“大力发展社区服务业，完善一老一小人口服务体系”的要求，创建“省级居家和社区养老服务创新示范区”，坚持补短板、强弱项、促升级，出台一批扶持政策，完善一批惠民措施，补齐一批配套设施，引导一批社会力量，推动天宁区养老服务产业化、高质量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9. 业态多元融合发展。</w:t>
      </w:r>
      <w:r>
        <w:rPr>
          <w:rFonts w:hint="default" w:ascii="Times New Roman" w:hAnsi="Times New Roman" w:eastAsia="方正仿宋_GBK" w:cs="Times New Roman"/>
          <w:color w:val="auto"/>
          <w:sz w:val="32"/>
          <w:szCs w:val="32"/>
        </w:rPr>
        <w:t>推动物业、养老、医疗、金融等社会力量投入养老服务，推动更多领域、更多业态与养老服务相融合，探索开展养老照护服务、康复辅具器具租赁服务等，建设或运营集居住、生活照料、医疗照护的养老社区、认知症友好社区、老年友好社区等，推动形成更多的养老服务业态，积极实现养老服务的有效供给，推出更多“成本可负担、方便又可及”的普惠性养老服务，鼓励有条件的专业机构、养老服务社会力量向品牌化、高端化方向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10. 新兴技术强力赋能。</w:t>
      </w:r>
      <w:r>
        <w:rPr>
          <w:rFonts w:hint="default" w:ascii="Times New Roman" w:hAnsi="Times New Roman" w:eastAsia="方正仿宋_GBK" w:cs="Times New Roman"/>
          <w:color w:val="auto"/>
          <w:sz w:val="32"/>
          <w:szCs w:val="32"/>
        </w:rPr>
        <w:t>通过以云计算、大数据平台为基础，结合互联网技术、物联网技术及移动通讯等信息技术，对居家养老、社区养老、机构养老进行完美整合，打造新一代“互联网+”智慧养老服务平台。规划建设区级智慧养老服务平台2.0版本，引入智慧养老信息化应用产品，建立助餐服务、休闲娱乐、乐享生活一体化的平台，建设示范型居家养老服务标杆，为老年人提供多元化养老服务，构建全区智慧养老服务体系，实现区、街道（镇）、社区（含机构）三级智慧平台信息互联互通。建立“养老服务+互联网+信用”机制，依法向社会公开有关信息。鼓励支持企业研发生产安全防护、照料护理、情感关爱等智能产品、服务及支持平台，提升老年人生活品质。</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（四）加快推进医养融合发展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11. 整合医疗卫生和养老资源。</w:t>
      </w:r>
      <w:r>
        <w:rPr>
          <w:rFonts w:hint="default" w:ascii="Times New Roman" w:hAnsi="Times New Roman" w:eastAsia="方正仿宋_GBK" w:cs="Times New Roman"/>
          <w:color w:val="auto"/>
          <w:sz w:val="32"/>
          <w:szCs w:val="32"/>
        </w:rPr>
        <w:t>引导和支持医疗卫生机构与养老服务机构建立医养结合机制，为老年人提供住院治疗、康复护理和安宁疗护等服务，社区卫生服务机构为社区老年人建立健康档案、提供基本公共卫生服务，依托卫健系统家庭医生签约服务，提供上门诊视、设立家庭病床、居家护理等服务。</w:t>
      </w:r>
      <w:r>
        <w:rPr>
          <w:rFonts w:hint="default" w:ascii="Times New Roman" w:hAnsi="Times New Roman" w:eastAsia="方正仿宋_GBK" w:cs="Times New Roman"/>
          <w:color w:val="auto"/>
          <w:sz w:val="32"/>
          <w:szCs w:val="32"/>
          <w:lang w:val="en-US" w:eastAsia="zh-CN"/>
        </w:rPr>
        <w:t>探索长护险与养老服务各项政策合一机制。</w:t>
      </w:r>
      <w:r>
        <w:rPr>
          <w:rFonts w:hint="default" w:ascii="Times New Roman" w:hAnsi="Times New Roman" w:eastAsia="方正仿宋_GBK" w:cs="Times New Roman"/>
          <w:color w:val="auto"/>
          <w:sz w:val="32"/>
          <w:szCs w:val="32"/>
        </w:rPr>
        <w:t>持续增加护理型养老床位供给，“十四五”期间，保证全区护理型床位占养老机构床位比例不低于80%。卫健部门牵头在全区开展基层卫生机构、护理院老年友善医疗机构创建</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“十四五”期末实现全覆盖。</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12. 积极试点家庭养老照护床位建设。</w:t>
      </w:r>
      <w:r>
        <w:rPr>
          <w:rFonts w:hint="default" w:ascii="Times New Roman" w:hAnsi="Times New Roman" w:eastAsia="方正仿宋_GBK" w:cs="Times New Roman"/>
          <w:color w:val="auto"/>
          <w:sz w:val="32"/>
          <w:szCs w:val="32"/>
        </w:rPr>
        <w:t>将机构床位向失能、半失能老人家庭延伸，研发区级家庭养老照护床位智慧化管理平台，实现服务线上监管，努力提升居家养老服务便利化水平。结合长期照护险保障制度的落实，助力全区建设300张家庭养老照护床位，实现全市领先。</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132715</wp:posOffset>
                </wp:positionV>
                <wp:extent cx="5610860" cy="2350135"/>
                <wp:effectExtent l="5080" t="4445" r="22860" b="7620"/>
                <wp:wrapSquare wrapText="bothSides"/>
                <wp:docPr id="4" name="文本框 6"/>
                <wp:cNvGraphicFramePr/>
                <a:graphic xmlns:a="http://schemas.openxmlformats.org/drawingml/2006/main">
                  <a:graphicData uri="http://schemas.microsoft.com/office/word/2010/wordprocessingShape">
                    <wps:wsp>
                      <wps:cNvSpPr txBox="1"/>
                      <wps:spPr>
                        <a:xfrm>
                          <a:off x="0" y="0"/>
                          <a:ext cx="5610860" cy="2350135"/>
                        </a:xfrm>
                        <a:prstGeom prst="rect">
                          <a:avLst/>
                        </a:prstGeom>
                        <a:noFill/>
                        <a:ln w="9525" cap="flat" cmpd="sng">
                          <a:solidFill>
                            <a:srgbClr val="000000"/>
                          </a:solidFill>
                          <a:prstDash val="solid"/>
                          <a:miter/>
                          <a:headEnd type="none" w="med" len="med"/>
                          <a:tailEnd type="none" w="med" len="med"/>
                        </a:ln>
                        <a:effectLst/>
                      </wps:spPr>
                      <wps:txbx>
                        <w:txbxContent>
                          <w:p>
                            <w:pPr>
                              <w:spacing w:beforeLines="50" w:afterLines="50" w:line="440" w:lineRule="exact"/>
                              <w:jc w:val="center"/>
                              <w:rPr>
                                <w:rFonts w:hint="default" w:ascii="Times New Roman" w:hAnsi="Times New Roman" w:eastAsia="方正黑体_GBK" w:cs="Times New Roman"/>
                                <w:sz w:val="28"/>
                                <w:szCs w:val="28"/>
                              </w:rPr>
                            </w:pPr>
                            <w:r>
                              <w:rPr>
                                <w:rFonts w:hint="default" w:ascii="Times New Roman" w:hAnsi="Times New Roman" w:eastAsia="方正黑体_GBK" w:cs="Times New Roman"/>
                                <w:sz w:val="28"/>
                                <w:szCs w:val="28"/>
                              </w:rPr>
                              <w:t>专栏4：家庭养老照护床位项目</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在必要的适老化和智能化家居改造的基础上，设置家庭养老床位，纳入动态管理和远程监护，提供紧急援助、生活照料、康复护理等与床位相配套的专业照顾服务。</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建设区级家庭养老照护床位智慧化管理平台，建设300张家庭养老照护床位。</w:t>
                            </w:r>
                          </w:p>
                        </w:txbxContent>
                      </wps:txbx>
                      <wps:bodyPr upright="1"/>
                    </wps:wsp>
                  </a:graphicData>
                </a:graphic>
              </wp:anchor>
            </w:drawing>
          </mc:Choice>
          <mc:Fallback>
            <w:pict>
              <v:shape id="文本框 6" o:spid="_x0000_s1026" o:spt="202" type="#_x0000_t202" style="position:absolute;left:0pt;margin-left:1.2pt;margin-top:10.45pt;height:185.05pt;width:441.8pt;mso-wrap-distance-bottom:0pt;mso-wrap-distance-left:9pt;mso-wrap-distance-right:9pt;mso-wrap-distance-top:0pt;z-index:251663360;mso-width-relative:page;mso-height-relative:page;" filled="f" stroked="t" coordsize="21600,21600" o:gfxdata="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3KGm1gAAAAgBAAAPAAAAAAAAAAEAIAAAACIA&#10;AABkcnMvZG93bnJldi54bWxQSwECFAAUAAAACACHTuJAUKPWewsCAAAcBAAADgAAAAAAAAABACAA&#10;AAAlAQAAZHJzL2Uyb0RvYy54bWxQSwUGAAAAAAYABgBZAQAAogUAAAAA&#10;">
                <v:fill on="f" focussize="0,0"/>
                <v:stroke color="#000000" joinstyle="miter"/>
                <v:imagedata o:title=""/>
                <o:lock v:ext="edit" aspectratio="f"/>
                <v:textbox>
                  <w:txbxContent>
                    <w:p>
                      <w:pPr>
                        <w:spacing w:beforeLines="50" w:afterLines="50" w:line="440" w:lineRule="exact"/>
                        <w:jc w:val="center"/>
                        <w:rPr>
                          <w:rFonts w:hint="default" w:ascii="Times New Roman" w:hAnsi="Times New Roman" w:eastAsia="方正黑体_GBK" w:cs="Times New Roman"/>
                          <w:sz w:val="28"/>
                          <w:szCs w:val="28"/>
                        </w:rPr>
                      </w:pPr>
                      <w:r>
                        <w:rPr>
                          <w:rFonts w:hint="default" w:ascii="Times New Roman" w:hAnsi="Times New Roman" w:eastAsia="方正黑体_GBK" w:cs="Times New Roman"/>
                          <w:sz w:val="28"/>
                          <w:szCs w:val="28"/>
                        </w:rPr>
                        <w:t>专栏4：家庭养老照护床位项目</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内容：</w:t>
                      </w:r>
                      <w:r>
                        <w:rPr>
                          <w:rFonts w:hint="default" w:ascii="Times New Roman" w:hAnsi="Times New Roman" w:eastAsia="方正仿宋_GBK" w:cs="Times New Roman"/>
                          <w:sz w:val="28"/>
                          <w:szCs w:val="28"/>
                        </w:rPr>
                        <w:t>在必要的适老化和智能化家居改造的基础上，设置家庭养老床位，纳入动态管理和远程监护，提供紧急援助、生活照料、康复护理等与床位相配套的专业照顾服务。</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b/>
                          <w:bCs/>
                          <w:sz w:val="28"/>
                          <w:szCs w:val="28"/>
                        </w:rPr>
                        <w:t>目标：</w:t>
                      </w:r>
                      <w:r>
                        <w:rPr>
                          <w:rFonts w:hint="default" w:ascii="Times New Roman" w:hAnsi="Times New Roman" w:eastAsia="方正仿宋_GBK" w:cs="Times New Roman"/>
                          <w:sz w:val="28"/>
                          <w:szCs w:val="28"/>
                        </w:rPr>
                        <w:t>建设区级家庭养老照护床位智慧化管理平台，建设300张家庭养老照护床位。</w:t>
                      </w:r>
                    </w:p>
                  </w:txbxContent>
                </v:textbox>
                <w10:wrap type="square"/>
              </v:shape>
            </w:pict>
          </mc:Fallback>
        </mc:AlternateContent>
      </w:r>
      <w:r>
        <w:rPr>
          <w:rFonts w:hint="default" w:ascii="Times New Roman" w:hAnsi="Times New Roman" w:eastAsia="方正楷体_GBK" w:cs="Times New Roman"/>
          <w:b w:val="0"/>
          <w:bCs/>
          <w:color w:val="auto"/>
          <w:sz w:val="32"/>
          <w:szCs w:val="32"/>
          <w:shd w:val="clear" w:color="auto" w:fill="FFFFFF"/>
        </w:rPr>
        <w:t>（五）探索农村养老服务发展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13. 加强农村养老服务设施建设。</w:t>
      </w:r>
      <w:r>
        <w:rPr>
          <w:rFonts w:hint="default" w:ascii="Times New Roman" w:hAnsi="Times New Roman" w:eastAsia="方正仿宋_GBK" w:cs="Times New Roman"/>
          <w:color w:val="auto"/>
          <w:sz w:val="32"/>
          <w:szCs w:val="32"/>
        </w:rPr>
        <w:t>强化托底保障，建设1家能满足失能失智特困人员集中照料需求的特困人员供养机构，改造升级护理型床位，开辟失能老年人照护单元，“十四五”期间，农村特困人员供养服务机构护理型床位占比保持在60%以上。着力补齐农村养老服务设施短板，因地制宜建设日间照料中心、托老所、互助性老年活动站等服务设施，改造提升农村互助式养老机构，确保“十四五”期间农村特困人员供养服务机构、互助式养老服务设施和服务阵地全面向社会开放。引入社会力量，通过承包经营、委托运营、联合经营等方式，参与农村养老服务设施的改造建设及运营管理。</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14. 构筑农村养老服务关爱网络。</w:t>
      </w:r>
      <w:r>
        <w:rPr>
          <w:rFonts w:hint="default" w:ascii="Times New Roman" w:hAnsi="Times New Roman" w:eastAsia="方正仿宋_GBK" w:cs="Times New Roman"/>
          <w:color w:val="auto"/>
          <w:sz w:val="32"/>
          <w:szCs w:val="32"/>
        </w:rPr>
        <w:t>拓展延伸居家社区养老服务功能，围绕集中照料、日间照护、居家上门服务“三位一体”的服务理念，向周边老年人提供助餐、助浴、康复辅具租赁、护理技能实操培训等服务。强化部门协调，利用社会治理网格化数据平台，建立农村养老服务体系建设协调长效机制，定期研究解决农村养老服务领域存在突出问题。着力发展农村互助养老新模式，利用网格单元，探索建立“睦邻点”、“互助中心”等，实现邻里互助，实现相邻的农村老年人互帮互助，相互提供方便可及的养老服务。充分发挥村（居）民委员会、老年协会、群团组织、社会组织、专业社会工作者、志愿者、网格员等各方面的积极作用，建立农村养老志愿者服务队伍，与农村老年人结对帮扶，建立社会化关爱农村留守老人服务的工作机制。</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outlineLvl w:val="1"/>
        <w:rPr>
          <w:rFonts w:hint="default" w:ascii="Times New Roman" w:hAnsi="Times New Roman" w:eastAsia="方正楷体_GBK" w:cs="Times New Roman"/>
          <w:b w:val="0"/>
          <w:bCs/>
          <w:color w:val="auto"/>
          <w:sz w:val="32"/>
          <w:szCs w:val="32"/>
          <w:shd w:val="clear" w:color="auto" w:fill="FFFFFF"/>
        </w:rPr>
      </w:pPr>
      <w:r>
        <w:rPr>
          <w:rFonts w:hint="default" w:ascii="Times New Roman" w:hAnsi="Times New Roman" w:eastAsia="方正楷体_GBK" w:cs="Times New Roman"/>
          <w:b w:val="0"/>
          <w:bCs/>
          <w:color w:val="auto"/>
          <w:sz w:val="32"/>
          <w:szCs w:val="32"/>
          <w:shd w:val="clear" w:color="auto" w:fill="FFFFFF"/>
        </w:rPr>
        <w:t>（六）全面提升养老服务标准化、规范化建设</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15. 努力提高养老服务精准化程度。</w:t>
      </w:r>
      <w:r>
        <w:rPr>
          <w:rFonts w:hint="default" w:ascii="Times New Roman" w:hAnsi="Times New Roman" w:eastAsia="方正仿宋_GBK" w:cs="Times New Roman"/>
          <w:color w:val="auto"/>
          <w:sz w:val="32"/>
          <w:szCs w:val="32"/>
        </w:rPr>
        <w:t>开展养老服务需求评估，对老年人能力与养老需求进行综合评价，结果作为老年人享受补贴、接受基本养老服务的重要依据。开展养老服务行业发展、设施供给、服务质量等方面调研，为制定完善养老服务政策提供依据。依托智慧养老服务网络，精准对接养老服务需求和供给，进一步提高养老服务的适配度。</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16. 完善养老服务领域信用体系。</w:t>
      </w:r>
      <w:r>
        <w:rPr>
          <w:rFonts w:hint="default" w:ascii="Times New Roman" w:hAnsi="Times New Roman" w:eastAsia="方正仿宋_GBK" w:cs="Times New Roman"/>
          <w:color w:val="auto"/>
          <w:sz w:val="32"/>
          <w:szCs w:val="32"/>
        </w:rPr>
        <w:t>加强对养老服务组织的综合评估，配合建立养老服务信用评价体系，落实养老机构备案承诺制度，并将承诺履约情况记入信用档案；归集养老服务组织设立变更、监督检查、违法行为、综合评估等社会信用信息，并通过“信用中国”网站、市公共信用信息平台和三级智慧养老服务平台向社会公开；加强信用信息与奖惩措施联动，对诚实守信的养老服务组织，按照相关规定在政府购买服务、财政补贴等方面给予支持和激励，对严重失信的养老服务组织，依法列入失信名单，采取限制行业进入等相应联合惩戒措施。</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17. 提升养老服务综合监管能力。</w:t>
      </w:r>
      <w:r>
        <w:rPr>
          <w:rFonts w:hint="default" w:ascii="Times New Roman" w:hAnsi="Times New Roman" w:eastAsia="方正仿宋_GBK" w:cs="Times New Roman"/>
          <w:color w:val="auto"/>
          <w:sz w:val="32"/>
          <w:szCs w:val="32"/>
        </w:rPr>
        <w:t>加强对养老服务机构运营和服务的监督管理，建立天宁区养老服务联席会议制度，制定相关部门协同监管和联合执法机制，实现违法线索互联、监管标准互通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处理结果互认。定期开展养老服务机构建筑、消防、食品、特种设备、医疗卫生服务等方面的安全检查，及时发现安全隐患，督促机构采取有效措施及时整改。强化“双随机、一公开”监管，规范抽查工作细则，建立检查对象名录库和执法人员名录库。</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18. 全面落实养老服务安全生产。</w:t>
      </w:r>
      <w:r>
        <w:rPr>
          <w:rFonts w:hint="default" w:ascii="Times New Roman" w:hAnsi="Times New Roman" w:eastAsia="方正仿宋_GBK" w:cs="Times New Roman"/>
          <w:color w:val="auto"/>
          <w:sz w:val="32"/>
          <w:szCs w:val="32"/>
        </w:rPr>
        <w:t>压实养老机构安全管理主体责任，按照专项规划要求，加强养老机构安全管理制度体系建设，严格落实各类行业标准和强制性要求，开展养老机构消防安全标准化管理达标创建活动和服务安全强制性贯标工作，加大对建筑机构、设施设备、食品卫生、消防、用电、燃气、医疗护理、生命财产、信息等领域的隐患排查整治力度，及时补齐安全弱项、堵塞事故隐患漏洞。建立完善安全风险评估制度，对标养老机构预防和处置噎食、食品药品误食、压疮、烫伤、坠床、跌倒、他伤和自伤、走失、文娱活动意外等9种服务风险的相关要求，落实规范操作，提优服务质量，定期组织演练，确保主体安全。</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jc w:val="both"/>
        <w:textAlignment w:val="auto"/>
        <w:outlineLvl w:val="0"/>
        <w:rPr>
          <w:rFonts w:hint="default" w:ascii="Times New Roman" w:hAnsi="Times New Roman" w:eastAsia="方正黑体_GBK" w:cs="Times New Roman"/>
          <w:color w:val="auto"/>
          <w:sz w:val="32"/>
          <w:szCs w:val="32"/>
        </w:rPr>
      </w:pPr>
      <w:bookmarkStart w:id="10" w:name="_Toc16598"/>
      <w:bookmarkStart w:id="11" w:name="_Toc4184"/>
      <w:r>
        <w:rPr>
          <w:rFonts w:hint="default" w:ascii="Times New Roman" w:hAnsi="Times New Roman" w:eastAsia="方正黑体_GBK" w:cs="Times New Roman"/>
          <w:color w:val="auto"/>
          <w:sz w:val="32"/>
          <w:szCs w:val="32"/>
        </w:rPr>
        <w:t>六、保障措施</w:t>
      </w:r>
      <w:bookmarkEnd w:id="10"/>
      <w:bookmarkEnd w:id="11"/>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（一）加强组织保障。</w:t>
      </w:r>
      <w:r>
        <w:rPr>
          <w:rFonts w:hint="default" w:ascii="Times New Roman" w:hAnsi="Times New Roman" w:eastAsia="方正仿宋_GBK" w:cs="Times New Roman"/>
          <w:color w:val="auto"/>
          <w:sz w:val="32"/>
          <w:szCs w:val="32"/>
        </w:rPr>
        <w:t>建立健全党委领导、政府主导、社会与市场协同参与的养老服务工作机制，凝聚推动养老服务发展的各方合力。建立区级养老服务联席会议制度，加强工作领导、明确责任分工，形成统筹推进、各负其责、上下联动的工作格局，确保如期完成“十四五”期间各项目标任务。区级养老服务联席会议成员单位要依据“谁审批、谁负责，谁主管、谁监管”原则，建立权责明确、分工协作、配合有序、科学高效的养老服务综合监管队伍，制定养老服务综合监管赋权清单，实行清单式监管。建立符合区级实际的养老服务应急处置管理机制，做好养老服务领域突发事件的应对工作。</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（二）加强规划引领和财力保障。</w:t>
      </w:r>
      <w:r>
        <w:rPr>
          <w:rFonts w:hint="default" w:ascii="Times New Roman" w:hAnsi="Times New Roman" w:eastAsia="方正仿宋_GBK" w:cs="Times New Roman"/>
          <w:color w:val="auto"/>
          <w:sz w:val="32"/>
          <w:szCs w:val="32"/>
        </w:rPr>
        <w:t>保证新建居住小区按照相应标准规范，配套建设养老服务设施，并与住宅同步规划、同步建设、同步验收、同步交付。已建成居住区养老服务设施未达到规划要求或建设标准的，应当通过新建、改建、购置、置换、租赁等方式予以补充完善。老城区结合城镇老旧小区改造补建一批养老服务设施，“十五分钟居家养老服务圈”逐步完善。建立稳定的养老服务经费保障机制，加大区级财政资金在养老服务政府购买方面的扶持力度。推动“金融+养老”，支持养老服务企业可持续发展。</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b w:val="0"/>
          <w:bCs/>
          <w:color w:val="auto"/>
          <w:sz w:val="32"/>
          <w:szCs w:val="32"/>
          <w:shd w:val="clear" w:color="auto" w:fill="FFFFFF"/>
        </w:rPr>
        <w:t>（三）加大宣传推广。</w:t>
      </w:r>
      <w:r>
        <w:rPr>
          <w:rFonts w:hint="default" w:ascii="Times New Roman" w:hAnsi="Times New Roman" w:eastAsia="方正仿宋_GBK" w:cs="Times New Roman"/>
          <w:color w:val="auto"/>
          <w:sz w:val="32"/>
          <w:szCs w:val="32"/>
        </w:rPr>
        <w:t>探索养老顾问制度，为老年人及其家庭，提供线上线下养老医疗资源、政策法规等咨询和指导服务。鼓励老年人合理规划自己的养老生活，树立自信自强自尊的理念。积极开展“敬老月”等活动，大力引导社会公益组织、社区、各界人士参与养老服务工作，营造全社会关注养老工作、关爱老年群体以及助老、孝老、敬老的浓厚氛围。</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 本</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规划</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中有关名词解释</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1600" w:firstLineChars="5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 天宁区“十四五”养老服务发展主要指标</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firstLine="1600" w:firstLineChars="5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 天宁区“十四五”养老服务重点建设项目</w:t>
      </w:r>
    </w:p>
    <w:p>
      <w:pPr>
        <w:adjustRightInd w:val="0"/>
        <w:snapToGrid w:val="0"/>
        <w:spacing w:line="570" w:lineRule="exact"/>
        <w:ind w:firstLine="640" w:firstLineChars="200"/>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cs="Times New Roman"/>
          <w:color w:val="auto"/>
        </w:rPr>
      </w:pPr>
    </w:p>
    <w:p>
      <w:pPr>
        <w:rPr>
          <w:rFonts w:hint="default" w:ascii="Times New Roman" w:hAnsi="Times New Roman" w:eastAsia="方正仿宋_GBK" w:cs="Times New Roman"/>
          <w:color w:val="auto"/>
          <w:sz w:val="32"/>
          <w:szCs w:val="32"/>
        </w:rPr>
      </w:pPr>
    </w:p>
    <w:p>
      <w:pPr>
        <w:pStyle w:val="2"/>
        <w:rPr>
          <w:rFonts w:hint="default" w:ascii="Times New Roman" w:hAnsi="Times New Roman" w:eastAsia="方正仿宋_GBK" w:cs="Times New Roman"/>
          <w:color w:val="auto"/>
          <w:sz w:val="32"/>
          <w:szCs w:val="32"/>
        </w:rPr>
      </w:pPr>
    </w:p>
    <w:p>
      <w:pPr>
        <w:pStyle w:val="3"/>
        <w:keepNext w:val="0"/>
        <w:keepLines w:val="0"/>
        <w:pageBreakBefore w:val="0"/>
        <w:widowControl w:val="0"/>
        <w:kinsoku w:val="0"/>
        <w:wordWrap/>
        <w:overflowPunct w:val="0"/>
        <w:topLinePunct w:val="0"/>
        <w:autoSpaceDE w:val="0"/>
        <w:autoSpaceDN w:val="0"/>
        <w:bidi w:val="0"/>
        <w:adjustRightInd w:val="0"/>
        <w:snapToGrid/>
        <w:spacing w:before="0" w:line="700" w:lineRule="exact"/>
        <w:ind w:left="0" w:firstLine="0" w:firstLineChars="0"/>
        <w:jc w:val="both"/>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附件1</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本《规划》中有关名词解释</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三项融合：</w:t>
      </w:r>
      <w:r>
        <w:rPr>
          <w:rFonts w:hint="default" w:ascii="Times New Roman" w:hAnsi="Times New Roman" w:eastAsia="方正仿宋_GBK" w:cs="Times New Roman"/>
          <w:color w:val="auto"/>
          <w:sz w:val="32"/>
          <w:szCs w:val="32"/>
        </w:rPr>
        <w:t>指养老服务“事业与产业相融合，养老与医疗相融合，传统模式与新兴业态相融合”的“三项融合”机制。</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居家适老化改造：</w:t>
      </w:r>
      <w:r>
        <w:rPr>
          <w:rFonts w:hint="default" w:ascii="Times New Roman" w:hAnsi="Times New Roman" w:eastAsia="方正仿宋_GBK" w:cs="Times New Roman"/>
          <w:color w:val="auto"/>
          <w:sz w:val="32"/>
          <w:szCs w:val="32"/>
        </w:rPr>
        <w:t>指为适应老年人居家生活而进行的改造，充分考虑老年人群体生理、心理、行为特征在居住和养老的需求， 通过对老年人居家的通道、居室、厨房等生活场所进行安全性和 便利性的改造，以改善老年人居住条件，降低家庭发生意外的风 险，提升老年人生活品质，是全市居家和社区养老服务建设的重 要内容。</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镇（街道）综合性养老服务中心：</w:t>
      </w:r>
      <w:r>
        <w:rPr>
          <w:rFonts w:hint="default" w:ascii="Times New Roman" w:hAnsi="Times New Roman" w:eastAsia="方正仿宋_GBK" w:cs="Times New Roman"/>
          <w:color w:val="auto"/>
          <w:sz w:val="32"/>
          <w:szCs w:val="32"/>
        </w:rPr>
        <w:t>指经民政部门备案且具备全托、日托、上门服务以及业务指导等综合功能的养老服务机构。</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color w:val="auto"/>
          <w:sz w:val="32"/>
          <w:szCs w:val="32"/>
        </w:rPr>
        <w:t>村（社区）居家养老服务中心：</w:t>
      </w:r>
      <w:r>
        <w:rPr>
          <w:rFonts w:hint="default" w:ascii="Times New Roman" w:hAnsi="Times New Roman" w:eastAsia="方正仿宋_GBK" w:cs="Times New Roman"/>
          <w:color w:val="auto"/>
          <w:sz w:val="32"/>
          <w:szCs w:val="32"/>
        </w:rPr>
        <w:t>指民非或工商登记，并以居家养老服务为主要业务范围的机构。名称包含“养老服务”字样，民非注册一般以“中心”或“站”或“点”结尾；工商注册一般以“公司”结尾。</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镇（街道）老年人日间照料中心：</w:t>
      </w:r>
      <w:r>
        <w:rPr>
          <w:rFonts w:hint="default" w:ascii="Times New Roman" w:hAnsi="Times New Roman" w:eastAsia="方正仿宋_GBK" w:cs="Times New Roman"/>
          <w:color w:val="auto"/>
          <w:sz w:val="32"/>
          <w:szCs w:val="32"/>
        </w:rPr>
        <w:t>指民非或者工商注册登记，并以满足老年人就近照料为主要业务范围的服务机构。</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智慧养老服务平台：</w:t>
      </w:r>
      <w:r>
        <w:rPr>
          <w:rFonts w:hint="default" w:ascii="Times New Roman" w:hAnsi="Times New Roman" w:eastAsia="方正仿宋_GBK" w:cs="Times New Roman"/>
          <w:color w:val="auto"/>
          <w:sz w:val="32"/>
          <w:szCs w:val="32"/>
        </w:rPr>
        <w:t>指社区养老、居家养老管理信息化系统，为智慧养老提供基础服务，主要是针对各级政府机构以及社区、街道对所辖区域内的居家养老的老人管理，同时为各类养老服务组织与老人提供无缝接入。</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家庭养老照护床位：</w:t>
      </w:r>
      <w:r>
        <w:rPr>
          <w:rFonts w:hint="default" w:ascii="Times New Roman" w:hAnsi="Times New Roman" w:eastAsia="方正仿宋_GBK" w:cs="Times New Roman"/>
          <w:color w:val="auto"/>
          <w:sz w:val="32"/>
          <w:szCs w:val="32"/>
        </w:rPr>
        <w:t>指在老年人家庭中按照机构养老服务的基本要求设置，依托专业服务机构、专业服务队伍、专业的设备，以专业照护机构为支点、以社区为服务半径，将专业照护服务延伸至老年人家中，使老年人家中的床位成为具备“类机构”照护服务标准功能的床位。</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黑体_GBK" w:cs="Times New Roman"/>
          <w:color w:val="auto"/>
          <w:sz w:val="32"/>
          <w:szCs w:val="32"/>
        </w:rPr>
        <w:t>时间银行：</w:t>
      </w:r>
      <w:r>
        <w:rPr>
          <w:rFonts w:hint="default" w:ascii="Times New Roman" w:hAnsi="Times New Roman" w:eastAsia="方正仿宋_GBK" w:cs="Times New Roman"/>
          <w:color w:val="auto"/>
          <w:sz w:val="32"/>
          <w:szCs w:val="32"/>
        </w:rPr>
        <w:t>指志愿者将参与公益服务的时间存进时间银行，当自己遭遇困难时就可以从中支取“被服务时间”。</w:t>
      </w:r>
    </w:p>
    <w:p>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黑体_GBK" w:cs="Times New Roman"/>
          <w:color w:val="auto"/>
          <w:sz w:val="32"/>
          <w:szCs w:val="32"/>
        </w:rPr>
        <w:t>特困人员供养机构：</w:t>
      </w:r>
      <w:r>
        <w:rPr>
          <w:rFonts w:hint="default" w:ascii="Times New Roman" w:hAnsi="Times New Roman" w:eastAsia="方正仿宋_GBK" w:cs="Times New Roman"/>
          <w:color w:val="auto"/>
          <w:sz w:val="32"/>
          <w:szCs w:val="32"/>
        </w:rPr>
        <w:t>指国家对无劳动能力、无生活来源且无法定赡养、抚养、扶养义务人，或者其法定赡养、抚养、扶养义务人无赡养、抚养、扶养能力的老年人、残疾人提供供养服务，进行集中供养的机构</w:t>
      </w:r>
      <w:r>
        <w:rPr>
          <w:rFonts w:hint="default" w:ascii="Times New Roman" w:hAnsi="Times New Roman" w:eastAsia="方正仿宋_GBK" w:cs="Times New Roman"/>
          <w:color w:val="auto"/>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pStyle w:val="2"/>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pStyle w:val="2"/>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pStyle w:val="2"/>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0" w:leftChars="0"/>
        <w:textAlignment w:val="auto"/>
        <w:rPr>
          <w:rFonts w:hint="default" w:ascii="Times New Roman" w:hAnsi="Times New Roman" w:eastAsia="方正仿宋_GBK" w:cs="Times New Roman"/>
          <w:color w:val="auto"/>
          <w:sz w:val="32"/>
          <w:szCs w:val="32"/>
        </w:rPr>
      </w:pPr>
    </w:p>
    <w:p>
      <w:pPr>
        <w:pStyle w:val="3"/>
        <w:kinsoku w:val="0"/>
        <w:overflowPunct w:val="0"/>
        <w:spacing w:before="0" w:line="451" w:lineRule="exact"/>
        <w:rPr>
          <w:rFonts w:hint="default" w:ascii="Times New Roman" w:hAnsi="Times New Roman" w:eastAsia="方正黑体_GBK" w:cs="Times New Roman"/>
          <w:color w:val="auto"/>
        </w:rPr>
      </w:pPr>
    </w:p>
    <w:p>
      <w:pPr>
        <w:pStyle w:val="3"/>
        <w:keepNext w:val="0"/>
        <w:keepLines w:val="0"/>
        <w:pageBreakBefore w:val="0"/>
        <w:widowControl w:val="0"/>
        <w:kinsoku w:val="0"/>
        <w:wordWrap/>
        <w:overflowPunct w:val="0"/>
        <w:topLinePunct w:val="0"/>
        <w:autoSpaceDE w:val="0"/>
        <w:autoSpaceDN w:val="0"/>
        <w:bidi w:val="0"/>
        <w:adjustRightInd w:val="0"/>
        <w:snapToGrid/>
        <w:spacing w:before="0" w:line="700" w:lineRule="exact"/>
        <w:ind w:left="0"/>
        <w:textAlignment w:val="auto"/>
        <w:rPr>
          <w:rFonts w:hint="default" w:ascii="Times New Roman" w:hAnsi="Times New Roman" w:eastAsia="仿宋_GB2312" w:cs="Times New Roman"/>
          <w:color w:val="auto"/>
        </w:rPr>
      </w:pPr>
      <w:r>
        <w:rPr>
          <w:rFonts w:hint="default" w:ascii="Times New Roman" w:hAnsi="Times New Roman" w:eastAsia="方正黑体_GBK" w:cs="Times New Roman"/>
          <w:color w:val="auto"/>
        </w:rPr>
        <w:t>附件2</w:t>
      </w:r>
    </w:p>
    <w:p>
      <w:pPr>
        <w:pStyle w:val="15"/>
        <w:keepNext w:val="0"/>
        <w:keepLines w:val="0"/>
        <w:pageBreakBefore w:val="0"/>
        <w:widowControl w:val="0"/>
        <w:kinsoku w:val="0"/>
        <w:wordWrap/>
        <w:overflowPunct w:val="0"/>
        <w:topLinePunct w:val="0"/>
        <w:autoSpaceDE w:val="0"/>
        <w:autoSpaceDN w:val="0"/>
        <w:bidi w:val="0"/>
        <w:adjustRightInd w:val="0"/>
        <w:snapToGrid/>
        <w:spacing w:before="0" w:after="157" w:afterLines="50" w:line="700" w:lineRule="exact"/>
        <w:ind w:left="0"/>
        <w:jc w:val="center"/>
        <w:textAlignment w:val="auto"/>
        <w:outlineLvl w:val="0"/>
        <w:rPr>
          <w:rFonts w:hint="default" w:ascii="Times New Roman" w:hAnsi="Times New Roman" w:eastAsia="仿宋_GB2312" w:cs="Times New Roman"/>
          <w:color w:val="auto"/>
          <w:sz w:val="14"/>
          <w:szCs w:val="14"/>
        </w:rPr>
      </w:pPr>
      <w:bookmarkStart w:id="12" w:name="_Toc8476"/>
      <w:bookmarkStart w:id="13" w:name="_Toc27032"/>
      <w:r>
        <w:rPr>
          <w:rFonts w:hint="default" w:ascii="Times New Roman" w:hAnsi="Times New Roman" w:eastAsia="方正小标宋_GBK" w:cs="Times New Roman"/>
          <w:color w:val="auto"/>
          <w:kern w:val="2"/>
          <w:sz w:val="44"/>
          <w:szCs w:val="44"/>
          <w:lang w:val="en-US" w:eastAsia="zh-CN" w:bidi="ar-SA"/>
        </w:rPr>
        <w:t>天宁区“十四五”养老服务发展主要指标</w:t>
      </w:r>
      <w:bookmarkEnd w:id="12"/>
      <w:bookmarkEnd w:id="13"/>
    </w:p>
    <w:tbl>
      <w:tblPr>
        <w:tblStyle w:val="7"/>
        <w:tblW w:w="4999" w:type="pct"/>
        <w:jc w:val="center"/>
        <w:tblLayout w:type="autofit"/>
        <w:tblCellMar>
          <w:top w:w="57" w:type="dxa"/>
          <w:left w:w="57" w:type="dxa"/>
          <w:bottom w:w="57" w:type="dxa"/>
          <w:right w:w="57" w:type="dxa"/>
        </w:tblCellMar>
      </w:tblPr>
      <w:tblGrid>
        <w:gridCol w:w="1259"/>
        <w:gridCol w:w="5136"/>
        <w:gridCol w:w="1407"/>
        <w:gridCol w:w="1154"/>
      </w:tblGrid>
      <w:tr>
        <w:tblPrEx>
          <w:tblCellMar>
            <w:top w:w="57" w:type="dxa"/>
            <w:left w:w="57" w:type="dxa"/>
            <w:bottom w:w="57" w:type="dxa"/>
            <w:right w:w="57" w:type="dxa"/>
          </w:tblCellMar>
        </w:tblPrEx>
        <w:trPr>
          <w:trHeight w:val="510" w:hRule="atLeast"/>
          <w:jc w:val="center"/>
        </w:trPr>
        <w:tc>
          <w:tcPr>
            <w:tcW w:w="703"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黑体_GBK" w:cs="Times New Roman"/>
                <w:color w:val="auto"/>
                <w:sz w:val="24"/>
                <w:szCs w:val="24"/>
              </w:rPr>
            </w:pPr>
            <w:r>
              <w:rPr>
                <w:rFonts w:hint="default" w:ascii="Times New Roman" w:hAnsi="Times New Roman" w:eastAsia="方正黑体_GBK" w:cs="Times New Roman"/>
                <w:color w:val="auto"/>
                <w:sz w:val="24"/>
                <w:szCs w:val="24"/>
              </w:rPr>
              <w:t>分 类</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tabs>
                <w:tab w:val="left" w:pos="846"/>
              </w:tabs>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黑体_GBK" w:cs="Times New Roman"/>
                <w:color w:val="auto"/>
                <w:sz w:val="24"/>
                <w:szCs w:val="24"/>
              </w:rPr>
            </w:pPr>
            <w:r>
              <w:rPr>
                <w:rFonts w:hint="default" w:ascii="Times New Roman" w:hAnsi="Times New Roman" w:eastAsia="方正黑体_GBK" w:cs="Times New Roman"/>
                <w:color w:val="auto"/>
                <w:sz w:val="24"/>
                <w:szCs w:val="24"/>
              </w:rPr>
              <w:t>指</w:t>
            </w:r>
            <w:r>
              <w:rPr>
                <w:rFonts w:hint="default" w:ascii="Times New Roman" w:hAnsi="Times New Roman" w:eastAsia="方正黑体_GBK" w:cs="Times New Roman"/>
                <w:color w:val="auto"/>
                <w:sz w:val="24"/>
                <w:szCs w:val="24"/>
              </w:rPr>
              <w:tab/>
            </w:r>
            <w:r>
              <w:rPr>
                <w:rFonts w:hint="default" w:ascii="Times New Roman" w:hAnsi="Times New Roman" w:eastAsia="方正黑体_GBK" w:cs="Times New Roman"/>
                <w:color w:val="auto"/>
                <w:sz w:val="24"/>
                <w:szCs w:val="24"/>
              </w:rPr>
              <w:t>标</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黑体_GBK" w:cs="Times New Roman"/>
                <w:color w:val="auto"/>
                <w:sz w:val="24"/>
                <w:szCs w:val="24"/>
              </w:rPr>
            </w:pPr>
            <w:r>
              <w:rPr>
                <w:rFonts w:hint="default" w:ascii="Times New Roman" w:hAnsi="Times New Roman" w:eastAsia="方正黑体_GBK" w:cs="Times New Roman"/>
                <w:color w:val="auto"/>
                <w:sz w:val="24"/>
                <w:szCs w:val="24"/>
              </w:rPr>
              <w:t>2025年目标</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黑体_GBK" w:cs="Times New Roman"/>
                <w:color w:val="auto"/>
                <w:sz w:val="24"/>
                <w:szCs w:val="24"/>
              </w:rPr>
            </w:pPr>
            <w:r>
              <w:rPr>
                <w:rFonts w:hint="default" w:ascii="Times New Roman" w:hAnsi="Times New Roman" w:eastAsia="方正黑体_GBK" w:cs="Times New Roman"/>
                <w:color w:val="auto"/>
                <w:sz w:val="24"/>
                <w:szCs w:val="24"/>
              </w:rPr>
              <w:t>指标属性</w:t>
            </w:r>
          </w:p>
        </w:tc>
      </w:tr>
      <w:tr>
        <w:tblPrEx>
          <w:tblCellMar>
            <w:top w:w="57" w:type="dxa"/>
            <w:left w:w="57" w:type="dxa"/>
            <w:bottom w:w="57" w:type="dxa"/>
            <w:right w:w="57" w:type="dxa"/>
          </w:tblCellMar>
        </w:tblPrEx>
        <w:trPr>
          <w:trHeight w:val="510" w:hRule="atLeast"/>
          <w:jc w:val="center"/>
        </w:trPr>
        <w:tc>
          <w:tcPr>
            <w:tcW w:w="703" w:type="pct"/>
            <w:vMerge w:val="restart"/>
            <w:tcBorders>
              <w:top w:val="single" w:color="000000" w:sz="4" w:space="0"/>
              <w:left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居家社区</w:t>
            </w:r>
          </w:p>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养老</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老年人接受居家上门服务覆盖率（%）</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25</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left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城市街道综合性养老服务中心建成率（%）</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100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continue"/>
            <w:tcBorders>
              <w:left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80</w:t>
            </w:r>
            <w:r>
              <w:rPr>
                <w:rFonts w:hint="default" w:ascii="Times New Roman" w:hAnsi="Times New Roman" w:eastAsia="方正仿宋_GBK" w:cs="Times New Roman"/>
                <w:color w:val="auto"/>
                <w:spacing w:val="7"/>
                <w:sz w:val="24"/>
                <w:szCs w:val="24"/>
              </w:rPr>
              <w:t xml:space="preserve"> </w:t>
            </w:r>
            <w:r>
              <w:rPr>
                <w:rFonts w:hint="default" w:ascii="Times New Roman" w:hAnsi="Times New Roman" w:eastAsia="方正仿宋_GBK" w:cs="Times New Roman"/>
                <w:color w:val="auto"/>
                <w:sz w:val="24"/>
                <w:szCs w:val="24"/>
              </w:rPr>
              <w:t>周岁及以上老年人能力评估覆盖率（%）</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100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6"/>
                <w:sz w:val="24"/>
                <w:szCs w:val="24"/>
              </w:rPr>
              <w:t>居家适老化改造户数（含社会老年人家庭）（户）</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2000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机构养老</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护理型床位数占养老机构床位总数比例（%）</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80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养老机构社会化运营床位占比（%）</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80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通过等级评定的养老机构占比（%）</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80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农村保障</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pacing w:val="-4"/>
                <w:sz w:val="24"/>
                <w:szCs w:val="24"/>
              </w:rPr>
              <w:t>农村特困人员供养服务机构护理型床位占比（%）</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60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标准化农村区域性养老服务中心建成数（家）</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具备失能（失智）特困人员集中供养服务功能的</w:t>
            </w:r>
            <w:r>
              <w:rPr>
                <w:rFonts w:hint="default" w:ascii="Times New Roman" w:hAnsi="Times New Roman" w:eastAsia="方正仿宋_GBK" w:cs="Times New Roman"/>
                <w:color w:val="auto"/>
                <w:spacing w:val="-115"/>
                <w:sz w:val="24"/>
                <w:szCs w:val="24"/>
              </w:rPr>
              <w:t xml:space="preserve"> </w:t>
            </w:r>
            <w:r>
              <w:rPr>
                <w:rFonts w:hint="default" w:ascii="Times New Roman" w:hAnsi="Times New Roman" w:eastAsia="方正仿宋_GBK" w:cs="Times New Roman"/>
                <w:color w:val="auto"/>
                <w:sz w:val="24"/>
                <w:szCs w:val="24"/>
              </w:rPr>
              <w:t>机构建成（家）</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人才队伍</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通过职业技能等级认定的养老护理员占比（%）</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80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养老服务人员培训人数（人次）</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2000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每百张养老机构床位配备社会工作者数量（人）</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约束性</w:t>
            </w:r>
          </w:p>
        </w:tc>
      </w:tr>
      <w:tr>
        <w:tblPrEx>
          <w:tblCellMar>
            <w:top w:w="57" w:type="dxa"/>
            <w:left w:w="57" w:type="dxa"/>
            <w:bottom w:w="57" w:type="dxa"/>
            <w:right w:w="57" w:type="dxa"/>
          </w:tblCellMar>
        </w:tblPrEx>
        <w:trPr>
          <w:trHeight w:val="510" w:hRule="atLeast"/>
          <w:jc w:val="center"/>
        </w:trPr>
        <w:tc>
          <w:tcPr>
            <w:tcW w:w="703" w:type="pct"/>
            <w:vMerge w:val="restar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养老产业</w:t>
            </w: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全市养老服务领域吸纳新增就业（人）</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500</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r>
        <w:tblPrEx>
          <w:tblCellMar>
            <w:top w:w="57" w:type="dxa"/>
            <w:left w:w="57" w:type="dxa"/>
            <w:bottom w:w="57" w:type="dxa"/>
            <w:right w:w="57" w:type="dxa"/>
          </w:tblCellMar>
        </w:tblPrEx>
        <w:trPr>
          <w:trHeight w:val="510" w:hRule="atLeast"/>
          <w:jc w:val="center"/>
        </w:trPr>
        <w:tc>
          <w:tcPr>
            <w:tcW w:w="703" w:type="pct"/>
            <w:vMerge w:val="continue"/>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p>
        </w:tc>
        <w:tc>
          <w:tcPr>
            <w:tcW w:w="2866"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left"/>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培育江苏省养老服务高质量发展示范企业（家）</w:t>
            </w:r>
          </w:p>
        </w:tc>
        <w:tc>
          <w:tcPr>
            <w:tcW w:w="785"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p>
        </w:tc>
        <w:tc>
          <w:tcPr>
            <w:tcW w:w="644"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280" w:lineRule="exact"/>
              <w:ind w:left="0" w:right="0"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预期性</w:t>
            </w:r>
          </w:p>
        </w:tc>
      </w:tr>
    </w:tbl>
    <w:p>
      <w:pPr>
        <w:pStyle w:val="3"/>
        <w:keepNext w:val="0"/>
        <w:keepLines w:val="0"/>
        <w:pageBreakBefore w:val="0"/>
        <w:widowControl w:val="0"/>
        <w:kinsoku w:val="0"/>
        <w:wordWrap/>
        <w:overflowPunct w:val="0"/>
        <w:topLinePunct w:val="0"/>
        <w:autoSpaceDE w:val="0"/>
        <w:autoSpaceDN w:val="0"/>
        <w:bidi w:val="0"/>
        <w:adjustRightInd w:val="0"/>
        <w:snapToGrid/>
        <w:spacing w:before="0" w:line="570" w:lineRule="exact"/>
        <w:ind w:left="0" w:firstLine="0" w:firstLineChars="0"/>
        <w:jc w:val="both"/>
        <w:textAlignment w:val="auto"/>
        <w:rPr>
          <w:rFonts w:hint="default" w:ascii="Times New Roman" w:hAnsi="Times New Roman" w:eastAsia="方正黑体_GBK" w:cs="Times New Roman"/>
          <w:color w:val="auto"/>
        </w:rPr>
      </w:pPr>
    </w:p>
    <w:p>
      <w:pPr>
        <w:pStyle w:val="3"/>
        <w:keepNext w:val="0"/>
        <w:keepLines w:val="0"/>
        <w:pageBreakBefore w:val="0"/>
        <w:widowControl w:val="0"/>
        <w:kinsoku w:val="0"/>
        <w:wordWrap/>
        <w:overflowPunct w:val="0"/>
        <w:topLinePunct w:val="0"/>
        <w:autoSpaceDE w:val="0"/>
        <w:autoSpaceDN w:val="0"/>
        <w:bidi w:val="0"/>
        <w:adjustRightInd w:val="0"/>
        <w:snapToGrid/>
        <w:spacing w:before="0" w:line="700" w:lineRule="exact"/>
        <w:ind w:left="0" w:firstLine="0" w:firstLineChars="0"/>
        <w:jc w:val="both"/>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附件3</w:t>
      </w:r>
    </w:p>
    <w:p>
      <w:pPr>
        <w:pStyle w:val="15"/>
        <w:keepNext w:val="0"/>
        <w:keepLines w:val="0"/>
        <w:pageBreakBefore w:val="0"/>
        <w:widowControl w:val="0"/>
        <w:kinsoku w:val="0"/>
        <w:wordWrap/>
        <w:overflowPunct w:val="0"/>
        <w:topLinePunct w:val="0"/>
        <w:autoSpaceDE w:val="0"/>
        <w:autoSpaceDN w:val="0"/>
        <w:bidi w:val="0"/>
        <w:adjustRightInd w:val="0"/>
        <w:snapToGrid/>
        <w:spacing w:after="126" w:afterLines="40" w:line="640" w:lineRule="exact"/>
        <w:ind w:left="0"/>
        <w:jc w:val="center"/>
        <w:textAlignment w:val="auto"/>
        <w:outlineLvl w:val="0"/>
        <w:rPr>
          <w:rFonts w:hint="default" w:ascii="Times New Roman" w:hAnsi="Times New Roman" w:eastAsia="方正小标宋_GBK" w:cs="Times New Roman"/>
          <w:color w:val="auto"/>
          <w:kern w:val="2"/>
          <w:sz w:val="44"/>
          <w:szCs w:val="44"/>
          <w:lang w:val="en-US" w:eastAsia="zh-CN" w:bidi="ar-SA"/>
        </w:rPr>
      </w:pPr>
      <w:bookmarkStart w:id="14" w:name="_Toc18190"/>
      <w:bookmarkStart w:id="15" w:name="_Toc16614"/>
      <w:r>
        <w:rPr>
          <w:rFonts w:hint="default" w:ascii="Times New Roman" w:hAnsi="Times New Roman" w:eastAsia="方正小标宋_GBK" w:cs="Times New Roman"/>
          <w:color w:val="auto"/>
          <w:kern w:val="2"/>
          <w:sz w:val="44"/>
          <w:szCs w:val="44"/>
          <w:lang w:val="en-US" w:eastAsia="zh-CN" w:bidi="ar-SA"/>
        </w:rPr>
        <w:t>天宁区“十四五”养老服务重点建设项目</w:t>
      </w:r>
      <w:bookmarkEnd w:id="14"/>
      <w:bookmarkEnd w:id="15"/>
    </w:p>
    <w:tbl>
      <w:tblPr>
        <w:tblStyle w:val="8"/>
        <w:tblW w:w="51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690"/>
        <w:gridCol w:w="1254"/>
        <w:gridCol w:w="4106"/>
        <w:gridCol w:w="1222"/>
        <w:gridCol w:w="1004"/>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tblHeader/>
          <w:jc w:val="center"/>
        </w:trPr>
        <w:tc>
          <w:tcPr>
            <w:tcW w:w="373"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16" w:name="_Toc21078"/>
            <w:bookmarkStart w:id="17" w:name="_Toc16896"/>
            <w:r>
              <w:rPr>
                <w:rFonts w:hint="default" w:ascii="Times New Roman" w:hAnsi="Times New Roman" w:eastAsia="方正黑体_GBK" w:cs="Times New Roman"/>
                <w:color w:val="auto"/>
                <w:sz w:val="24"/>
                <w:szCs w:val="24"/>
              </w:rPr>
              <w:t>序号</w:t>
            </w:r>
            <w:bookmarkEnd w:id="16"/>
            <w:bookmarkEnd w:id="17"/>
          </w:p>
        </w:tc>
        <w:tc>
          <w:tcPr>
            <w:tcW w:w="678"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18" w:name="_Toc1234"/>
            <w:bookmarkStart w:id="19" w:name="_Toc22803"/>
            <w:r>
              <w:rPr>
                <w:rFonts w:hint="default" w:ascii="Times New Roman" w:hAnsi="Times New Roman" w:eastAsia="方正黑体_GBK" w:cs="Times New Roman"/>
                <w:color w:val="auto"/>
                <w:sz w:val="24"/>
                <w:szCs w:val="24"/>
              </w:rPr>
              <w:t>项目名称</w:t>
            </w:r>
            <w:bookmarkEnd w:id="18"/>
            <w:bookmarkEnd w:id="19"/>
          </w:p>
        </w:tc>
        <w:tc>
          <w:tcPr>
            <w:tcW w:w="2220"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20" w:name="_Toc19799"/>
            <w:bookmarkStart w:id="21" w:name="_Toc30312"/>
            <w:r>
              <w:rPr>
                <w:rFonts w:hint="default" w:ascii="Times New Roman" w:hAnsi="Times New Roman" w:eastAsia="方正黑体_GBK" w:cs="Times New Roman"/>
                <w:color w:val="auto"/>
                <w:sz w:val="24"/>
                <w:szCs w:val="24"/>
              </w:rPr>
              <w:t>建设内容</w:t>
            </w:r>
            <w:bookmarkEnd w:id="20"/>
            <w:bookmarkEnd w:id="21"/>
          </w:p>
        </w:tc>
        <w:tc>
          <w:tcPr>
            <w:tcW w:w="661"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22" w:name="_Toc8623"/>
            <w:bookmarkStart w:id="23" w:name="_Toc32013"/>
            <w:r>
              <w:rPr>
                <w:rFonts w:hint="default" w:ascii="Times New Roman" w:hAnsi="Times New Roman" w:eastAsia="方正黑体_GBK" w:cs="Times New Roman"/>
                <w:color w:val="auto"/>
                <w:sz w:val="24"/>
                <w:szCs w:val="24"/>
              </w:rPr>
              <w:t>建设类别</w:t>
            </w:r>
            <w:bookmarkEnd w:id="22"/>
            <w:bookmarkEnd w:id="23"/>
          </w:p>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24" w:name="_Toc21816"/>
            <w:bookmarkStart w:id="25" w:name="_Toc5769"/>
            <w:r>
              <w:rPr>
                <w:rFonts w:hint="default" w:ascii="Times New Roman" w:hAnsi="Times New Roman" w:eastAsia="方正黑体_GBK" w:cs="Times New Roman"/>
                <w:color w:val="auto"/>
                <w:sz w:val="24"/>
                <w:szCs w:val="24"/>
              </w:rPr>
              <w:t>（新建/改造提升）</w:t>
            </w:r>
            <w:bookmarkEnd w:id="24"/>
            <w:bookmarkEnd w:id="25"/>
          </w:p>
        </w:tc>
        <w:tc>
          <w:tcPr>
            <w:tcW w:w="543"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26" w:name="_Toc7409"/>
            <w:bookmarkStart w:id="27" w:name="_Toc17135"/>
            <w:r>
              <w:rPr>
                <w:rFonts w:hint="default" w:ascii="Times New Roman" w:hAnsi="Times New Roman" w:eastAsia="方正黑体_GBK" w:cs="Times New Roman"/>
                <w:color w:val="auto"/>
                <w:sz w:val="24"/>
                <w:szCs w:val="24"/>
              </w:rPr>
              <w:t>预算</w:t>
            </w:r>
            <w:bookmarkEnd w:id="26"/>
            <w:bookmarkEnd w:id="27"/>
          </w:p>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28" w:name="_Toc22388"/>
            <w:bookmarkStart w:id="29" w:name="_Toc15136"/>
            <w:r>
              <w:rPr>
                <w:rFonts w:hint="default" w:ascii="Times New Roman" w:hAnsi="Times New Roman" w:eastAsia="方正黑体_GBK" w:cs="Times New Roman"/>
                <w:color w:val="auto"/>
                <w:sz w:val="24"/>
                <w:szCs w:val="24"/>
              </w:rPr>
              <w:t>（万元）</w:t>
            </w:r>
            <w:bookmarkEnd w:id="28"/>
            <w:bookmarkEnd w:id="29"/>
          </w:p>
        </w:tc>
        <w:tc>
          <w:tcPr>
            <w:tcW w:w="522" w:type="pct"/>
            <w:vAlign w:val="center"/>
          </w:tcPr>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bookmarkStart w:id="30" w:name="_Toc25233"/>
            <w:bookmarkStart w:id="31" w:name="_Toc2262"/>
            <w:r>
              <w:rPr>
                <w:rFonts w:hint="default" w:ascii="Times New Roman" w:hAnsi="Times New Roman" w:eastAsia="方正黑体_GBK" w:cs="Times New Roman"/>
                <w:color w:val="auto"/>
                <w:sz w:val="24"/>
                <w:szCs w:val="24"/>
              </w:rPr>
              <w:t>建设</w:t>
            </w:r>
          </w:p>
          <w:p>
            <w:pPr>
              <w:pStyle w:val="16"/>
              <w:keepNext w:val="0"/>
              <w:keepLines w:val="0"/>
              <w:pageBreakBefore w:val="0"/>
              <w:widowControl w:val="0"/>
              <w:kinsoku w:val="0"/>
              <w:wordWrap/>
              <w:overflowPunct w:val="0"/>
              <w:topLinePunct w:val="0"/>
              <w:autoSpaceDE w:val="0"/>
              <w:autoSpaceDN w:val="0"/>
              <w:bidi w:val="0"/>
              <w:adjustRightInd w:val="0"/>
              <w:snapToGrid/>
              <w:spacing w:line="310" w:lineRule="exact"/>
              <w:ind w:left="0" w:right="0" w:firstLine="0" w:firstLineChars="0"/>
              <w:jc w:val="center"/>
              <w:textAlignment w:val="auto"/>
              <w:rPr>
                <w:rFonts w:hint="default" w:ascii="Times New Roman" w:hAnsi="Times New Roman" w:eastAsia="方正黑体_GBK" w:cs="Times New Roman"/>
                <w:color w:val="auto"/>
                <w:sz w:val="24"/>
                <w:szCs w:val="24"/>
              </w:rPr>
            </w:pPr>
            <w:r>
              <w:rPr>
                <w:rFonts w:hint="default" w:ascii="Times New Roman" w:hAnsi="Times New Roman" w:eastAsia="方正黑体_GBK" w:cs="Times New Roman"/>
                <w:color w:val="auto"/>
                <w:sz w:val="24"/>
                <w:szCs w:val="24"/>
              </w:rPr>
              <w:t>主体</w:t>
            </w:r>
            <w:bookmarkEnd w:id="30"/>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1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32" w:name="_Toc25507"/>
            <w:bookmarkStart w:id="33" w:name="_Toc20515"/>
            <w:r>
              <w:rPr>
                <w:rFonts w:hint="default" w:ascii="Times New Roman" w:hAnsi="Times New Roman" w:eastAsia="方正仿宋_GBK" w:cs="Times New Roman"/>
                <w:color w:val="auto"/>
                <w:sz w:val="24"/>
                <w:szCs w:val="24"/>
              </w:rPr>
              <w:t>1</w:t>
            </w:r>
            <w:bookmarkEnd w:id="32"/>
            <w:bookmarkEnd w:id="33"/>
          </w:p>
        </w:tc>
        <w:tc>
          <w:tcPr>
            <w:tcW w:w="678" w:type="pct"/>
            <w:vAlign w:val="center"/>
          </w:tcPr>
          <w:p>
            <w:pPr>
              <w:pStyle w:val="15"/>
              <w:keepNext w:val="0"/>
              <w:keepLines w:val="0"/>
              <w:pageBreakBefore w:val="0"/>
              <w:tabs>
                <w:tab w:val="left" w:pos="651"/>
              </w:tabs>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34" w:name="_Toc17384"/>
            <w:bookmarkStart w:id="35" w:name="_Toc11602"/>
            <w:r>
              <w:rPr>
                <w:rFonts w:hint="default" w:ascii="Times New Roman" w:hAnsi="Times New Roman" w:eastAsia="方正仿宋_GBK" w:cs="Times New Roman"/>
                <w:color w:val="auto"/>
                <w:sz w:val="24"/>
                <w:szCs w:val="24"/>
              </w:rPr>
              <w:t>天宁区养老服务指导中心</w:t>
            </w:r>
            <w:bookmarkEnd w:id="34"/>
            <w:bookmarkEnd w:id="35"/>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lang w:eastAsia="zh-CN"/>
              </w:rPr>
            </w:pPr>
            <w:bookmarkStart w:id="36" w:name="_Toc27692"/>
            <w:bookmarkStart w:id="37" w:name="_Toc23446"/>
            <w:r>
              <w:rPr>
                <w:rFonts w:hint="default" w:ascii="Times New Roman" w:hAnsi="Times New Roman" w:eastAsia="方正仿宋_GBK" w:cs="Times New Roman"/>
                <w:color w:val="auto"/>
                <w:sz w:val="24"/>
                <w:szCs w:val="24"/>
              </w:rPr>
              <w:t>建筑面积约3000平方米，集区级养老服务工作规划、展示、服务于一体，统筹负责辖区内养老资源调度、服务质量提升的综合性养老服务指导平台</w:t>
            </w:r>
            <w:bookmarkEnd w:id="36"/>
            <w:bookmarkEnd w:id="37"/>
            <w:r>
              <w:rPr>
                <w:rFonts w:hint="default" w:ascii="Times New Roman" w:hAnsi="Times New Roman" w:eastAsia="方正仿宋_GBK" w:cs="Times New Roman"/>
                <w:color w:val="auto"/>
                <w:sz w:val="24"/>
                <w:szCs w:val="24"/>
                <w:lang w:eastAsia="zh-CN"/>
              </w:rPr>
              <w:t>。</w:t>
            </w:r>
          </w:p>
        </w:tc>
        <w:tc>
          <w:tcPr>
            <w:tcW w:w="661"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新建</w:t>
            </w:r>
          </w:p>
        </w:tc>
        <w:tc>
          <w:tcPr>
            <w:tcW w:w="543"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800</w:t>
            </w:r>
          </w:p>
        </w:tc>
        <w:tc>
          <w:tcPr>
            <w:tcW w:w="522" w:type="pct"/>
            <w:vMerge w:val="restar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天宁区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461"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38" w:name="_Toc7512"/>
            <w:bookmarkStart w:id="39" w:name="_Toc586"/>
            <w:r>
              <w:rPr>
                <w:rFonts w:hint="default" w:ascii="Times New Roman" w:hAnsi="Times New Roman" w:eastAsia="方正仿宋_GBK" w:cs="Times New Roman"/>
                <w:color w:val="auto"/>
                <w:sz w:val="24"/>
                <w:szCs w:val="24"/>
              </w:rPr>
              <w:t>2</w:t>
            </w:r>
            <w:bookmarkEnd w:id="38"/>
            <w:bookmarkEnd w:id="39"/>
          </w:p>
        </w:tc>
        <w:tc>
          <w:tcPr>
            <w:tcW w:w="678" w:type="pct"/>
            <w:vAlign w:val="center"/>
          </w:tcPr>
          <w:p>
            <w:pPr>
              <w:pStyle w:val="15"/>
              <w:keepNext w:val="0"/>
              <w:keepLines w:val="0"/>
              <w:pageBreakBefore w:val="0"/>
              <w:tabs>
                <w:tab w:val="left" w:pos="651"/>
              </w:tabs>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40" w:name="_Toc11738"/>
            <w:bookmarkStart w:id="41" w:name="_Toc16233"/>
            <w:r>
              <w:rPr>
                <w:rFonts w:hint="default" w:ascii="Times New Roman" w:hAnsi="Times New Roman" w:eastAsia="方正仿宋_GBK" w:cs="Times New Roman"/>
                <w:color w:val="auto"/>
                <w:sz w:val="24"/>
                <w:szCs w:val="24"/>
              </w:rPr>
              <w:t>天宁区智慧养老服务平台</w:t>
            </w:r>
            <w:bookmarkEnd w:id="40"/>
            <w:bookmarkEnd w:id="41"/>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42" w:name="_Toc2233"/>
            <w:bookmarkStart w:id="43" w:name="_Toc17670"/>
            <w:r>
              <w:rPr>
                <w:rFonts w:hint="default" w:ascii="Times New Roman" w:hAnsi="Times New Roman" w:eastAsia="方正仿宋_GBK" w:cs="Times New Roman"/>
                <w:color w:val="auto"/>
                <w:sz w:val="24"/>
                <w:szCs w:val="24"/>
              </w:rPr>
              <w:t>建设区级智慧养老服务平台2.0版本，建立养老机构、社区服务站点、居家上门援助服务、助餐服务、尊老金发放管理等功能一体化展示、运营平台。</w:t>
            </w:r>
            <w:bookmarkEnd w:id="42"/>
            <w:bookmarkEnd w:id="43"/>
          </w:p>
        </w:tc>
        <w:tc>
          <w:tcPr>
            <w:tcW w:w="661"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新建</w:t>
            </w:r>
          </w:p>
        </w:tc>
        <w:tc>
          <w:tcPr>
            <w:tcW w:w="543"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100</w:t>
            </w:r>
          </w:p>
        </w:tc>
        <w:tc>
          <w:tcPr>
            <w:tcW w:w="522" w:type="pct"/>
            <w:vMerge w:val="continue"/>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94"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44" w:name="_Toc19246"/>
            <w:bookmarkStart w:id="45" w:name="_Toc10649"/>
            <w:r>
              <w:rPr>
                <w:rFonts w:hint="default" w:ascii="Times New Roman" w:hAnsi="Times New Roman" w:eastAsia="方正仿宋_GBK" w:cs="Times New Roman"/>
                <w:color w:val="auto"/>
                <w:sz w:val="24"/>
                <w:szCs w:val="24"/>
              </w:rPr>
              <w:t>3</w:t>
            </w:r>
            <w:bookmarkEnd w:id="44"/>
            <w:bookmarkEnd w:id="45"/>
          </w:p>
        </w:tc>
        <w:tc>
          <w:tcPr>
            <w:tcW w:w="678" w:type="pct"/>
            <w:vAlign w:val="center"/>
          </w:tcPr>
          <w:p>
            <w:pPr>
              <w:pStyle w:val="15"/>
              <w:keepNext w:val="0"/>
              <w:keepLines w:val="0"/>
              <w:pageBreakBefore w:val="0"/>
              <w:tabs>
                <w:tab w:val="left" w:pos="651"/>
              </w:tabs>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46" w:name="_Toc18919"/>
            <w:bookmarkStart w:id="47" w:name="_Toc28271"/>
            <w:r>
              <w:rPr>
                <w:rFonts w:hint="default" w:ascii="Times New Roman" w:hAnsi="Times New Roman" w:eastAsia="方正仿宋_GBK" w:cs="Times New Roman"/>
                <w:color w:val="auto"/>
                <w:sz w:val="24"/>
                <w:szCs w:val="24"/>
              </w:rPr>
              <w:t>郑陆镇居家养老服务中心</w:t>
            </w:r>
            <w:bookmarkEnd w:id="46"/>
            <w:bookmarkEnd w:id="47"/>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48" w:name="_Toc22427"/>
            <w:bookmarkStart w:id="49" w:name="_Toc13758"/>
            <w:r>
              <w:rPr>
                <w:rFonts w:hint="default" w:ascii="Times New Roman" w:hAnsi="Times New Roman" w:eastAsia="方正仿宋_GBK" w:cs="Times New Roman"/>
                <w:color w:val="auto"/>
                <w:sz w:val="24"/>
                <w:szCs w:val="24"/>
              </w:rPr>
              <w:t>建筑</w:t>
            </w:r>
            <w:r>
              <w:rPr>
                <w:rFonts w:hint="default" w:ascii="Times New Roman" w:hAnsi="Times New Roman" w:eastAsia="方正仿宋_GBK" w:cs="Times New Roman"/>
                <w:color w:val="auto"/>
                <w:sz w:val="24"/>
                <w:szCs w:val="24"/>
                <w:lang w:eastAsia="zh-CN"/>
              </w:rPr>
              <w:t>面积</w:t>
            </w:r>
            <w:r>
              <w:rPr>
                <w:rFonts w:hint="default" w:ascii="Times New Roman" w:hAnsi="Times New Roman" w:eastAsia="方正仿宋_GBK" w:cs="Times New Roman"/>
                <w:color w:val="auto"/>
                <w:sz w:val="24"/>
                <w:szCs w:val="24"/>
              </w:rPr>
              <w:t>约 650 平方米，打造</w:t>
            </w:r>
            <w:r>
              <w:rPr>
                <w:rFonts w:hint="default" w:ascii="Times New Roman" w:hAnsi="Times New Roman" w:eastAsia="方正仿宋_GBK" w:cs="Times New Roman"/>
                <w:color w:val="auto"/>
                <w:sz w:val="24"/>
                <w:szCs w:val="24"/>
                <w:lang w:eastAsia="zh-CN"/>
              </w:rPr>
              <w:t>集</w:t>
            </w:r>
            <w:r>
              <w:rPr>
                <w:rFonts w:hint="default" w:ascii="Times New Roman" w:hAnsi="Times New Roman" w:eastAsia="方正仿宋_GBK" w:cs="Times New Roman"/>
                <w:color w:val="auto"/>
                <w:sz w:val="24"/>
                <w:szCs w:val="24"/>
              </w:rPr>
              <w:t>日间照料、上门服务、助餐等功能为一体的综合性居家养老服务设施。</w:t>
            </w:r>
            <w:bookmarkEnd w:id="48"/>
            <w:bookmarkEnd w:id="49"/>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50" w:name="_Toc6292"/>
            <w:bookmarkStart w:id="51" w:name="_Toc14800"/>
            <w:r>
              <w:rPr>
                <w:rFonts w:hint="default" w:ascii="Times New Roman" w:hAnsi="Times New Roman" w:eastAsia="方正仿宋_GBK" w:cs="Times New Roman"/>
                <w:color w:val="auto"/>
                <w:sz w:val="24"/>
                <w:szCs w:val="24"/>
              </w:rPr>
              <w:t>新建</w:t>
            </w:r>
            <w:bookmarkEnd w:id="50"/>
            <w:bookmarkEnd w:id="51"/>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52" w:name="_Toc16473"/>
            <w:bookmarkStart w:id="53" w:name="_Toc3403"/>
            <w:r>
              <w:rPr>
                <w:rFonts w:hint="default" w:ascii="Times New Roman" w:hAnsi="Times New Roman" w:eastAsia="方正仿宋_GBK" w:cs="Times New Roman"/>
                <w:color w:val="auto"/>
                <w:sz w:val="24"/>
                <w:szCs w:val="24"/>
              </w:rPr>
              <w:t>100</w:t>
            </w:r>
            <w:bookmarkEnd w:id="52"/>
            <w:bookmarkEnd w:id="53"/>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54" w:name="_Toc27318"/>
            <w:bookmarkStart w:id="55" w:name="_Toc20012"/>
            <w:r>
              <w:rPr>
                <w:rFonts w:hint="default" w:ascii="Times New Roman" w:hAnsi="Times New Roman" w:eastAsia="方正仿宋_GBK" w:cs="Times New Roman"/>
                <w:color w:val="auto"/>
                <w:sz w:val="24"/>
                <w:szCs w:val="24"/>
              </w:rPr>
              <w:t>郑陆镇</w:t>
            </w:r>
            <w:bookmarkEnd w:id="54"/>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39"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56" w:name="_Toc9742"/>
            <w:bookmarkStart w:id="57" w:name="_Toc1471"/>
            <w:r>
              <w:rPr>
                <w:rFonts w:hint="default" w:ascii="Times New Roman" w:hAnsi="Times New Roman" w:eastAsia="方正仿宋_GBK" w:cs="Times New Roman"/>
                <w:color w:val="auto"/>
                <w:sz w:val="24"/>
                <w:szCs w:val="24"/>
              </w:rPr>
              <w:t>4</w:t>
            </w:r>
            <w:bookmarkEnd w:id="56"/>
            <w:bookmarkEnd w:id="57"/>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58" w:name="_Toc10156"/>
            <w:bookmarkStart w:id="59" w:name="_Toc10899"/>
            <w:r>
              <w:rPr>
                <w:rFonts w:hint="default" w:ascii="Times New Roman" w:hAnsi="Times New Roman" w:eastAsia="方正仿宋_GBK" w:cs="Times New Roman"/>
                <w:color w:val="auto"/>
                <w:sz w:val="24"/>
                <w:szCs w:val="24"/>
              </w:rPr>
              <w:t>郑陆镇敬老院</w:t>
            </w:r>
            <w:bookmarkEnd w:id="58"/>
            <w:bookmarkEnd w:id="59"/>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60" w:name="_Toc19809"/>
            <w:bookmarkStart w:id="61" w:name="_Toc15507"/>
            <w:r>
              <w:rPr>
                <w:rFonts w:hint="default" w:ascii="Times New Roman" w:hAnsi="Times New Roman" w:eastAsia="方正仿宋_GBK" w:cs="Times New Roman"/>
                <w:color w:val="auto"/>
                <w:sz w:val="24"/>
                <w:szCs w:val="24"/>
              </w:rPr>
              <w:t>建筑</w:t>
            </w:r>
            <w:r>
              <w:rPr>
                <w:rFonts w:hint="default" w:ascii="Times New Roman" w:hAnsi="Times New Roman" w:eastAsia="方正仿宋_GBK" w:cs="Times New Roman"/>
                <w:color w:val="auto"/>
                <w:sz w:val="24"/>
                <w:szCs w:val="24"/>
                <w:lang w:eastAsia="zh-CN"/>
              </w:rPr>
              <w:t>面积</w:t>
            </w:r>
            <w:r>
              <w:rPr>
                <w:rFonts w:hint="default" w:ascii="Times New Roman" w:hAnsi="Times New Roman" w:eastAsia="方正仿宋_GBK" w:cs="Times New Roman"/>
                <w:color w:val="auto"/>
                <w:sz w:val="24"/>
                <w:szCs w:val="24"/>
              </w:rPr>
              <w:t>约 6500平方米</w:t>
            </w:r>
            <w:r>
              <w:rPr>
                <w:rFonts w:hint="default"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建设1家能满足失能失智特困人员集中照料需求的特困人员供养机构。</w:t>
            </w:r>
            <w:bookmarkEnd w:id="60"/>
            <w:bookmarkEnd w:id="61"/>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62" w:name="_Toc5445"/>
            <w:bookmarkStart w:id="63" w:name="_Toc21134"/>
            <w:r>
              <w:rPr>
                <w:rFonts w:hint="default" w:ascii="Times New Roman" w:hAnsi="Times New Roman" w:eastAsia="方正仿宋_GBK" w:cs="Times New Roman"/>
                <w:color w:val="auto"/>
                <w:sz w:val="24"/>
                <w:szCs w:val="24"/>
              </w:rPr>
              <w:t>新建</w:t>
            </w:r>
            <w:bookmarkEnd w:id="62"/>
            <w:bookmarkEnd w:id="63"/>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64" w:name="_Toc16415"/>
            <w:bookmarkStart w:id="65" w:name="_Toc27833"/>
            <w:r>
              <w:rPr>
                <w:rFonts w:hint="default" w:ascii="Times New Roman" w:hAnsi="Times New Roman" w:eastAsia="方正仿宋_GBK" w:cs="Times New Roman"/>
                <w:color w:val="auto"/>
                <w:sz w:val="24"/>
                <w:szCs w:val="24"/>
              </w:rPr>
              <w:t>1000</w:t>
            </w:r>
            <w:bookmarkEnd w:id="64"/>
            <w:bookmarkEnd w:id="65"/>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449"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66" w:name="_Toc15791"/>
            <w:bookmarkStart w:id="67" w:name="_Toc15185"/>
            <w:r>
              <w:rPr>
                <w:rFonts w:hint="default" w:ascii="Times New Roman" w:hAnsi="Times New Roman" w:eastAsia="方正仿宋_GBK" w:cs="Times New Roman"/>
                <w:color w:val="auto"/>
                <w:sz w:val="24"/>
                <w:szCs w:val="24"/>
              </w:rPr>
              <w:t>5</w:t>
            </w:r>
            <w:bookmarkEnd w:id="66"/>
            <w:bookmarkEnd w:id="67"/>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68" w:name="_Toc9202"/>
            <w:bookmarkStart w:id="69" w:name="_Toc31124"/>
            <w:r>
              <w:rPr>
                <w:rFonts w:hint="default" w:ascii="Times New Roman" w:hAnsi="Times New Roman" w:eastAsia="方正仿宋_GBK" w:cs="Times New Roman"/>
                <w:color w:val="auto"/>
                <w:sz w:val="24"/>
                <w:szCs w:val="24"/>
              </w:rPr>
              <w:t>雕庄街道综合性养老服务中心</w:t>
            </w:r>
            <w:bookmarkEnd w:id="68"/>
            <w:bookmarkEnd w:id="69"/>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70" w:name="_Toc23386"/>
            <w:bookmarkStart w:id="71" w:name="_Toc10689"/>
            <w:r>
              <w:rPr>
                <w:rFonts w:hint="default" w:ascii="Times New Roman" w:hAnsi="Times New Roman" w:eastAsia="方正仿宋_GBK" w:cs="Times New Roman"/>
                <w:color w:val="auto"/>
                <w:sz w:val="24"/>
                <w:szCs w:val="24"/>
              </w:rPr>
              <w:t>街道镇级综合性养老服务中心，位于雕庄街道凤凰世纪广场，建筑面积约2883平方米，打造综合性的居家养老服务中心。</w:t>
            </w:r>
            <w:bookmarkEnd w:id="70"/>
            <w:bookmarkEnd w:id="71"/>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72" w:name="_Toc7189"/>
            <w:bookmarkStart w:id="73" w:name="_Toc25200"/>
            <w:r>
              <w:rPr>
                <w:rFonts w:hint="default" w:ascii="Times New Roman" w:hAnsi="Times New Roman" w:eastAsia="方正仿宋_GBK" w:cs="Times New Roman"/>
                <w:color w:val="auto"/>
                <w:sz w:val="24"/>
                <w:szCs w:val="24"/>
              </w:rPr>
              <w:t>新建</w:t>
            </w:r>
            <w:bookmarkEnd w:id="72"/>
            <w:bookmarkEnd w:id="73"/>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74" w:name="_Toc29809"/>
            <w:bookmarkStart w:id="75" w:name="_Toc32377"/>
            <w:r>
              <w:rPr>
                <w:rFonts w:hint="default" w:ascii="Times New Roman" w:hAnsi="Times New Roman" w:eastAsia="方正仿宋_GBK" w:cs="Times New Roman"/>
                <w:color w:val="auto"/>
                <w:sz w:val="24"/>
                <w:szCs w:val="24"/>
              </w:rPr>
              <w:t>800</w:t>
            </w:r>
            <w:bookmarkEnd w:id="74"/>
            <w:bookmarkEnd w:id="75"/>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76" w:name="_Toc10960"/>
            <w:bookmarkStart w:id="77" w:name="_Toc30117"/>
            <w:r>
              <w:rPr>
                <w:rFonts w:hint="default" w:ascii="Times New Roman" w:hAnsi="Times New Roman" w:eastAsia="方正仿宋_GBK" w:cs="Times New Roman"/>
                <w:color w:val="auto"/>
                <w:sz w:val="24"/>
                <w:szCs w:val="24"/>
              </w:rPr>
              <w:t>雕庄</w:t>
            </w:r>
            <w:bookmarkEnd w:id="76"/>
            <w:bookmarkEnd w:id="77"/>
          </w:p>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78" w:name="_Toc1379"/>
            <w:bookmarkStart w:id="79" w:name="_Toc27750"/>
            <w:r>
              <w:rPr>
                <w:rFonts w:hint="default" w:ascii="Times New Roman" w:hAnsi="Times New Roman" w:eastAsia="方正仿宋_GBK" w:cs="Times New Roman"/>
                <w:color w:val="auto"/>
                <w:sz w:val="24"/>
                <w:szCs w:val="24"/>
              </w:rPr>
              <w:t>街道</w:t>
            </w:r>
            <w:bookmarkEnd w:id="78"/>
            <w:bookmarkEnd w:id="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47"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80" w:name="_Toc17798"/>
            <w:bookmarkStart w:id="81" w:name="_Toc15360"/>
            <w:r>
              <w:rPr>
                <w:rFonts w:hint="default" w:ascii="Times New Roman" w:hAnsi="Times New Roman" w:eastAsia="方正仿宋_GBK" w:cs="Times New Roman"/>
                <w:color w:val="auto"/>
                <w:sz w:val="24"/>
                <w:szCs w:val="24"/>
              </w:rPr>
              <w:t>6</w:t>
            </w:r>
            <w:bookmarkEnd w:id="80"/>
            <w:bookmarkEnd w:id="81"/>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82" w:name="_Toc6033"/>
            <w:bookmarkStart w:id="83" w:name="_Toc31413"/>
            <w:r>
              <w:rPr>
                <w:rFonts w:hint="default" w:ascii="Times New Roman" w:hAnsi="Times New Roman" w:eastAsia="方正仿宋_GBK" w:cs="Times New Roman"/>
                <w:color w:val="auto"/>
                <w:sz w:val="24"/>
                <w:szCs w:val="24"/>
              </w:rPr>
              <w:t>采菱社区居家养老服务站</w:t>
            </w:r>
            <w:bookmarkEnd w:id="82"/>
            <w:bookmarkEnd w:id="83"/>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84" w:name="_Toc20337"/>
            <w:bookmarkStart w:id="85" w:name="_Toc28495"/>
            <w:r>
              <w:rPr>
                <w:rFonts w:hint="default" w:ascii="Times New Roman" w:hAnsi="Times New Roman" w:eastAsia="方正仿宋_GBK" w:cs="Times New Roman"/>
                <w:color w:val="auto"/>
                <w:sz w:val="24"/>
                <w:szCs w:val="24"/>
              </w:rPr>
              <w:t>社区级居家服务站，位于雕庄街道采菱公寓62幢，建筑面积约350平方米，对居家养老服务站进行。</w:t>
            </w:r>
            <w:bookmarkEnd w:id="84"/>
            <w:bookmarkEnd w:id="85"/>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86" w:name="_Toc13886"/>
            <w:bookmarkStart w:id="87" w:name="_Toc2821"/>
            <w:r>
              <w:rPr>
                <w:rFonts w:hint="default" w:ascii="Times New Roman" w:hAnsi="Times New Roman" w:eastAsia="方正仿宋_GBK" w:cs="Times New Roman"/>
                <w:color w:val="auto"/>
                <w:sz w:val="24"/>
                <w:szCs w:val="24"/>
              </w:rPr>
              <w:t>改造提升</w:t>
            </w:r>
            <w:bookmarkEnd w:id="86"/>
            <w:bookmarkEnd w:id="87"/>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88" w:name="_Toc9695"/>
            <w:bookmarkStart w:id="89" w:name="_Toc4013"/>
            <w:r>
              <w:rPr>
                <w:rFonts w:hint="default" w:ascii="Times New Roman" w:hAnsi="Times New Roman" w:eastAsia="方正仿宋_GBK" w:cs="Times New Roman"/>
                <w:color w:val="auto"/>
                <w:sz w:val="24"/>
                <w:szCs w:val="24"/>
              </w:rPr>
              <w:t>100</w:t>
            </w:r>
            <w:bookmarkEnd w:id="88"/>
            <w:bookmarkEnd w:id="89"/>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84"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90" w:name="_Toc25439"/>
            <w:bookmarkStart w:id="91" w:name="_Toc18181"/>
            <w:r>
              <w:rPr>
                <w:rFonts w:hint="default" w:ascii="Times New Roman" w:hAnsi="Times New Roman" w:eastAsia="方正仿宋_GBK" w:cs="Times New Roman"/>
                <w:color w:val="auto"/>
                <w:sz w:val="24"/>
                <w:szCs w:val="24"/>
              </w:rPr>
              <w:t>7</w:t>
            </w:r>
            <w:bookmarkEnd w:id="90"/>
            <w:bookmarkEnd w:id="91"/>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92" w:name="_Toc16166"/>
            <w:bookmarkStart w:id="93" w:name="_Toc18491"/>
            <w:r>
              <w:rPr>
                <w:rFonts w:hint="default" w:ascii="Times New Roman" w:hAnsi="Times New Roman" w:eastAsia="方正仿宋_GBK" w:cs="Times New Roman"/>
                <w:color w:val="auto"/>
                <w:sz w:val="24"/>
                <w:szCs w:val="24"/>
              </w:rPr>
              <w:t>锦凤和鸣居家养老服务站</w:t>
            </w:r>
            <w:bookmarkEnd w:id="92"/>
            <w:bookmarkEnd w:id="93"/>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94" w:name="_Toc14846"/>
            <w:bookmarkStart w:id="95" w:name="_Toc29179"/>
            <w:r>
              <w:rPr>
                <w:rFonts w:hint="default" w:ascii="Times New Roman" w:hAnsi="Times New Roman" w:eastAsia="方正仿宋_GBK" w:cs="Times New Roman"/>
                <w:color w:val="auto"/>
                <w:sz w:val="24"/>
                <w:szCs w:val="24"/>
              </w:rPr>
              <w:t>社区级居家服务站，位于雕庄街道锦凤和鸣5号楼1-3层，建筑面积约350平方米。</w:t>
            </w:r>
            <w:bookmarkEnd w:id="94"/>
            <w:bookmarkEnd w:id="95"/>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96" w:name="_Toc794"/>
            <w:bookmarkStart w:id="97" w:name="_Toc15876"/>
            <w:r>
              <w:rPr>
                <w:rFonts w:hint="default" w:ascii="Times New Roman" w:hAnsi="Times New Roman" w:eastAsia="方正仿宋_GBK" w:cs="Times New Roman"/>
                <w:color w:val="auto"/>
                <w:sz w:val="24"/>
                <w:szCs w:val="24"/>
              </w:rPr>
              <w:t>新建</w:t>
            </w:r>
            <w:bookmarkEnd w:id="96"/>
            <w:bookmarkEnd w:id="97"/>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98" w:name="_Toc18877"/>
            <w:bookmarkStart w:id="99" w:name="_Toc3658"/>
            <w:r>
              <w:rPr>
                <w:rFonts w:hint="default" w:ascii="Times New Roman" w:hAnsi="Times New Roman" w:eastAsia="方正仿宋_GBK" w:cs="Times New Roman"/>
                <w:color w:val="auto"/>
                <w:sz w:val="24"/>
                <w:szCs w:val="24"/>
              </w:rPr>
              <w:t>100</w:t>
            </w:r>
            <w:bookmarkEnd w:id="98"/>
            <w:bookmarkEnd w:id="99"/>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00" w:name="_Toc13348"/>
            <w:bookmarkStart w:id="101" w:name="_Toc16064"/>
            <w:r>
              <w:rPr>
                <w:rFonts w:hint="default" w:ascii="Times New Roman" w:hAnsi="Times New Roman" w:eastAsia="方正仿宋_GBK" w:cs="Times New Roman"/>
                <w:color w:val="auto"/>
                <w:sz w:val="24"/>
                <w:szCs w:val="24"/>
              </w:rPr>
              <w:t>8</w:t>
            </w:r>
            <w:bookmarkEnd w:id="100"/>
            <w:bookmarkEnd w:id="101"/>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02" w:name="_Toc8223"/>
            <w:bookmarkStart w:id="103" w:name="_Toc15239"/>
            <w:r>
              <w:rPr>
                <w:rFonts w:hint="default" w:ascii="Times New Roman" w:hAnsi="Times New Roman" w:eastAsia="方正仿宋_GBK" w:cs="Times New Roman"/>
                <w:color w:val="auto"/>
                <w:sz w:val="24"/>
                <w:szCs w:val="24"/>
              </w:rPr>
              <w:t>紫云苑社区医养融合项目</w:t>
            </w:r>
            <w:bookmarkEnd w:id="102"/>
            <w:bookmarkEnd w:id="103"/>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104" w:name="_Toc24572"/>
            <w:bookmarkStart w:id="105" w:name="_Toc3322"/>
            <w:r>
              <w:rPr>
                <w:rFonts w:hint="default" w:ascii="Times New Roman" w:hAnsi="Times New Roman" w:eastAsia="方正仿宋_GBK" w:cs="Times New Roman"/>
                <w:color w:val="auto"/>
                <w:sz w:val="24"/>
                <w:szCs w:val="24"/>
              </w:rPr>
              <w:t>位于紫云苑社区的智慧养老服务平台，建筑面约 400 平方米，为老年人建立健康档</w:t>
            </w:r>
            <w:r>
              <w:rPr>
                <w:rFonts w:hint="default" w:ascii="Times New Roman" w:hAnsi="Times New Roman" w:eastAsia="方正仿宋_GBK" w:cs="Times New Roman"/>
                <w:color w:val="auto"/>
                <w:spacing w:val="-6"/>
                <w:sz w:val="24"/>
                <w:szCs w:val="24"/>
              </w:rPr>
              <w:t>案、提供基本公共卫生服务，</w:t>
            </w:r>
            <w:r>
              <w:rPr>
                <w:rFonts w:hint="default" w:ascii="Times New Roman" w:hAnsi="Times New Roman" w:eastAsia="方正仿宋_GBK" w:cs="Times New Roman"/>
                <w:color w:val="auto"/>
                <w:sz w:val="24"/>
                <w:szCs w:val="24"/>
              </w:rPr>
              <w:t>依托紫云苑社区居家养老服务站为居民提供医生签约服务、上门诊视、设立家庭病床、居家护理等服务，建成集健康理疗、日间照料、上门服务、助餐、助浴等功能为一体的综合性居家养老服务点。</w:t>
            </w:r>
            <w:bookmarkEnd w:id="104"/>
            <w:bookmarkEnd w:id="105"/>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06" w:name="_Toc17640"/>
            <w:bookmarkStart w:id="107" w:name="_Toc10881"/>
            <w:r>
              <w:rPr>
                <w:rFonts w:hint="default" w:ascii="Times New Roman" w:hAnsi="Times New Roman" w:eastAsia="方正仿宋_GBK" w:cs="Times New Roman"/>
                <w:color w:val="auto"/>
                <w:sz w:val="24"/>
                <w:szCs w:val="24"/>
              </w:rPr>
              <w:t>新建</w:t>
            </w:r>
            <w:bookmarkEnd w:id="106"/>
            <w:bookmarkEnd w:id="107"/>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08" w:name="_Toc569"/>
            <w:bookmarkStart w:id="109" w:name="_Toc30538"/>
            <w:r>
              <w:rPr>
                <w:rFonts w:hint="default" w:ascii="Times New Roman" w:hAnsi="Times New Roman" w:eastAsia="方正仿宋_GBK" w:cs="Times New Roman"/>
                <w:color w:val="auto"/>
                <w:sz w:val="24"/>
                <w:szCs w:val="24"/>
              </w:rPr>
              <w:t>250</w:t>
            </w:r>
            <w:bookmarkEnd w:id="108"/>
            <w:bookmarkEnd w:id="109"/>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10" w:name="_Toc4261"/>
            <w:bookmarkStart w:id="111" w:name="_Toc30808"/>
            <w:r>
              <w:rPr>
                <w:rFonts w:hint="default" w:ascii="Times New Roman" w:hAnsi="Times New Roman" w:eastAsia="方正仿宋_GBK" w:cs="Times New Roman"/>
                <w:color w:val="auto"/>
                <w:sz w:val="24"/>
                <w:szCs w:val="24"/>
              </w:rPr>
              <w:t>青龙</w:t>
            </w:r>
            <w:bookmarkEnd w:id="110"/>
            <w:bookmarkEnd w:id="111"/>
          </w:p>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12" w:name="_Toc13208"/>
            <w:bookmarkStart w:id="113" w:name="_Toc30523"/>
            <w:r>
              <w:rPr>
                <w:rFonts w:hint="default" w:ascii="Times New Roman" w:hAnsi="Times New Roman" w:eastAsia="方正仿宋_GBK" w:cs="Times New Roman"/>
                <w:color w:val="auto"/>
                <w:sz w:val="24"/>
                <w:szCs w:val="24"/>
              </w:rPr>
              <w:t>街道</w:t>
            </w:r>
            <w:bookmarkEnd w:id="112"/>
            <w:bookmarkEnd w:id="1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14" w:name="_Toc7928"/>
            <w:bookmarkStart w:id="115" w:name="_Toc10418"/>
            <w:r>
              <w:rPr>
                <w:rFonts w:hint="default" w:ascii="Times New Roman" w:hAnsi="Times New Roman" w:eastAsia="方正仿宋_GBK" w:cs="Times New Roman"/>
                <w:color w:val="auto"/>
                <w:sz w:val="24"/>
                <w:szCs w:val="24"/>
              </w:rPr>
              <w:t>9</w:t>
            </w:r>
            <w:bookmarkEnd w:id="114"/>
            <w:bookmarkEnd w:id="115"/>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16" w:name="_Toc5571"/>
            <w:bookmarkStart w:id="117" w:name="_Toc31480"/>
            <w:r>
              <w:rPr>
                <w:rFonts w:hint="default" w:ascii="Times New Roman" w:hAnsi="Times New Roman" w:eastAsia="方正仿宋_GBK" w:cs="Times New Roman"/>
                <w:color w:val="auto"/>
                <w:sz w:val="24"/>
                <w:szCs w:val="24"/>
              </w:rPr>
              <w:t>东风社区居家养老服务站新建</w:t>
            </w:r>
            <w:bookmarkEnd w:id="116"/>
            <w:bookmarkEnd w:id="117"/>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118" w:name="_Toc31811"/>
            <w:bookmarkStart w:id="119" w:name="_Toc26279"/>
            <w:r>
              <w:rPr>
                <w:rFonts w:hint="default" w:ascii="Times New Roman" w:hAnsi="Times New Roman" w:eastAsia="方正仿宋_GBK" w:cs="Times New Roman"/>
                <w:color w:val="auto"/>
                <w:sz w:val="24"/>
                <w:szCs w:val="24"/>
              </w:rPr>
              <w:t>建设东风社区智慧养老服务平台，打造集精神慰藉、文化传播、文体活动、上门服务、助餐等功能为一体的综合性居家养老服务站。</w:t>
            </w:r>
            <w:bookmarkEnd w:id="118"/>
            <w:bookmarkEnd w:id="119"/>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20" w:name="_Toc29732"/>
            <w:bookmarkStart w:id="121" w:name="_Toc19376"/>
            <w:r>
              <w:rPr>
                <w:rFonts w:hint="default" w:ascii="Times New Roman" w:hAnsi="Times New Roman" w:eastAsia="方正仿宋_GBK" w:cs="Times New Roman"/>
                <w:color w:val="auto"/>
                <w:sz w:val="24"/>
                <w:szCs w:val="24"/>
              </w:rPr>
              <w:t>新建</w:t>
            </w:r>
            <w:bookmarkEnd w:id="120"/>
            <w:bookmarkEnd w:id="121"/>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22" w:name="_Toc27117"/>
            <w:bookmarkStart w:id="123" w:name="_Toc12767"/>
            <w:r>
              <w:rPr>
                <w:rFonts w:hint="default" w:ascii="Times New Roman" w:hAnsi="Times New Roman" w:eastAsia="方正仿宋_GBK" w:cs="Times New Roman"/>
                <w:color w:val="auto"/>
                <w:sz w:val="24"/>
                <w:szCs w:val="24"/>
              </w:rPr>
              <w:t>300</w:t>
            </w:r>
            <w:bookmarkEnd w:id="122"/>
            <w:bookmarkEnd w:id="123"/>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24" w:name="_Toc5722"/>
            <w:bookmarkStart w:id="125" w:name="_Toc20999"/>
            <w:r>
              <w:rPr>
                <w:rFonts w:hint="default" w:ascii="Times New Roman" w:hAnsi="Times New Roman" w:eastAsia="方正仿宋_GBK" w:cs="Times New Roman"/>
                <w:color w:val="auto"/>
                <w:sz w:val="24"/>
                <w:szCs w:val="24"/>
              </w:rPr>
              <w:t>10</w:t>
            </w:r>
            <w:bookmarkEnd w:id="124"/>
            <w:bookmarkEnd w:id="125"/>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26" w:name="_Toc435"/>
            <w:bookmarkStart w:id="127" w:name="_Toc13715"/>
            <w:r>
              <w:rPr>
                <w:rFonts w:hint="default" w:ascii="Times New Roman" w:hAnsi="Times New Roman" w:eastAsia="方正仿宋_GBK" w:cs="Times New Roman"/>
                <w:color w:val="auto"/>
                <w:sz w:val="24"/>
                <w:szCs w:val="24"/>
              </w:rPr>
              <w:t>万科教育小镇居家养老服务站新建</w:t>
            </w:r>
            <w:bookmarkEnd w:id="126"/>
            <w:bookmarkEnd w:id="127"/>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128" w:name="_Toc11700"/>
            <w:bookmarkStart w:id="129" w:name="_Toc31900"/>
            <w:r>
              <w:rPr>
                <w:rFonts w:hint="default" w:ascii="Times New Roman" w:hAnsi="Times New Roman" w:eastAsia="方正仿宋_GBK" w:cs="Times New Roman"/>
                <w:color w:val="auto"/>
                <w:sz w:val="24"/>
                <w:szCs w:val="24"/>
              </w:rPr>
              <w:t>建设万科教育小镇智慧养老</w:t>
            </w:r>
            <w:r>
              <w:rPr>
                <w:rFonts w:hint="default" w:ascii="Times New Roman" w:hAnsi="Times New Roman" w:eastAsia="方正仿宋_GBK" w:cs="Times New Roman"/>
                <w:color w:val="auto"/>
                <w:spacing w:val="-6"/>
                <w:sz w:val="24"/>
                <w:szCs w:val="24"/>
              </w:rPr>
              <w:t>服务平台，打造集精神慰藉、</w:t>
            </w:r>
            <w:r>
              <w:rPr>
                <w:rFonts w:hint="default" w:ascii="Times New Roman" w:hAnsi="Times New Roman" w:eastAsia="方正仿宋_GBK" w:cs="Times New Roman"/>
                <w:color w:val="auto"/>
                <w:sz w:val="24"/>
                <w:szCs w:val="24"/>
              </w:rPr>
              <w:t>文化传播、文体活动、上门服务、助餐等功能为一体的综合性居家养老服务站。</w:t>
            </w:r>
            <w:bookmarkEnd w:id="128"/>
            <w:bookmarkEnd w:id="129"/>
          </w:p>
        </w:tc>
        <w:tc>
          <w:tcPr>
            <w:tcW w:w="661" w:type="pct"/>
            <w:vAlign w:val="center"/>
          </w:tcPr>
          <w:p>
            <w:pPr>
              <w:keepNext w:val="0"/>
              <w:keepLines w:val="0"/>
              <w:pageBreakBefore w:val="0"/>
              <w:kinsoku w:val="0"/>
              <w:wordWrap/>
              <w:overflowPunct w:val="0"/>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新建</w:t>
            </w:r>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30" w:name="_Toc30295"/>
            <w:bookmarkStart w:id="131" w:name="_Toc17111"/>
            <w:r>
              <w:rPr>
                <w:rFonts w:hint="default" w:ascii="Times New Roman" w:hAnsi="Times New Roman" w:eastAsia="方正仿宋_GBK" w:cs="Times New Roman"/>
                <w:color w:val="auto"/>
                <w:sz w:val="24"/>
                <w:szCs w:val="24"/>
              </w:rPr>
              <w:t>300</w:t>
            </w:r>
            <w:bookmarkEnd w:id="130"/>
            <w:bookmarkEnd w:id="131"/>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32" w:name="_Toc32110"/>
            <w:bookmarkStart w:id="133" w:name="_Toc16853"/>
            <w:r>
              <w:rPr>
                <w:rFonts w:hint="default" w:ascii="Times New Roman" w:hAnsi="Times New Roman" w:eastAsia="方正仿宋_GBK" w:cs="Times New Roman"/>
                <w:color w:val="auto"/>
                <w:sz w:val="24"/>
                <w:szCs w:val="24"/>
              </w:rPr>
              <w:t>11</w:t>
            </w:r>
            <w:bookmarkEnd w:id="132"/>
            <w:bookmarkEnd w:id="133"/>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34" w:name="_Toc9401"/>
            <w:bookmarkStart w:id="135" w:name="_Toc12374"/>
            <w:r>
              <w:rPr>
                <w:rFonts w:hint="default" w:ascii="Times New Roman" w:hAnsi="Times New Roman" w:eastAsia="方正仿宋_GBK" w:cs="Times New Roman"/>
                <w:color w:val="auto"/>
                <w:sz w:val="24"/>
                <w:szCs w:val="24"/>
              </w:rPr>
              <w:t>武城村居家养老服务站新建</w:t>
            </w:r>
            <w:bookmarkEnd w:id="134"/>
            <w:bookmarkEnd w:id="135"/>
          </w:p>
        </w:tc>
        <w:tc>
          <w:tcPr>
            <w:tcW w:w="2220" w:type="pct"/>
            <w:vAlign w:val="center"/>
          </w:tcPr>
          <w:p>
            <w:pPr>
              <w:pStyle w:val="15"/>
              <w:keepNext w:val="0"/>
              <w:keepLines w:val="0"/>
              <w:pageBreakBefore w:val="0"/>
              <w:kinsoku w:val="0"/>
              <w:wordWrap/>
              <w:overflowPunct w:val="0"/>
              <w:topLinePunct w:val="0"/>
              <w:bidi w:val="0"/>
              <w:snapToGrid/>
              <w:spacing w:line="310" w:lineRule="exact"/>
              <w:outlineLvl w:val="9"/>
              <w:rPr>
                <w:rFonts w:hint="default" w:ascii="Times New Roman" w:hAnsi="Times New Roman" w:eastAsia="方正仿宋_GBK" w:cs="Times New Roman"/>
                <w:color w:val="auto"/>
                <w:sz w:val="24"/>
                <w:szCs w:val="24"/>
              </w:rPr>
            </w:pPr>
            <w:bookmarkStart w:id="136" w:name="_Toc7587"/>
            <w:bookmarkStart w:id="137" w:name="_Toc15752"/>
            <w:r>
              <w:rPr>
                <w:rFonts w:hint="default" w:ascii="Times New Roman" w:hAnsi="Times New Roman" w:eastAsia="方正仿宋_GBK" w:cs="Times New Roman"/>
                <w:color w:val="auto"/>
                <w:sz w:val="24"/>
                <w:szCs w:val="24"/>
              </w:rPr>
              <w:t>建设武城村智慧养老服务平台，打造集精神慰藉、文化</w:t>
            </w:r>
            <w:r>
              <w:rPr>
                <w:rFonts w:hint="default" w:ascii="Times New Roman" w:hAnsi="Times New Roman" w:eastAsia="方正仿宋_GBK" w:cs="Times New Roman"/>
                <w:color w:val="auto"/>
                <w:spacing w:val="-6"/>
                <w:sz w:val="24"/>
                <w:szCs w:val="24"/>
              </w:rPr>
              <w:t>传播、文体活动、上门服务、</w:t>
            </w:r>
            <w:r>
              <w:rPr>
                <w:rFonts w:hint="default" w:ascii="Times New Roman" w:hAnsi="Times New Roman" w:eastAsia="方正仿宋_GBK" w:cs="Times New Roman"/>
                <w:color w:val="auto"/>
                <w:sz w:val="24"/>
                <w:szCs w:val="24"/>
              </w:rPr>
              <w:t>助餐等功能为一体的综合性居家养老服务站。</w:t>
            </w:r>
            <w:bookmarkEnd w:id="136"/>
            <w:bookmarkEnd w:id="137"/>
          </w:p>
        </w:tc>
        <w:tc>
          <w:tcPr>
            <w:tcW w:w="661" w:type="pct"/>
            <w:vAlign w:val="center"/>
          </w:tcPr>
          <w:p>
            <w:pPr>
              <w:keepNext w:val="0"/>
              <w:keepLines w:val="0"/>
              <w:pageBreakBefore w:val="0"/>
              <w:kinsoku w:val="0"/>
              <w:wordWrap/>
              <w:overflowPunct w:val="0"/>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新建</w:t>
            </w:r>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38" w:name="_Toc19094"/>
            <w:bookmarkStart w:id="139" w:name="_Toc26853"/>
            <w:r>
              <w:rPr>
                <w:rFonts w:hint="default" w:ascii="Times New Roman" w:hAnsi="Times New Roman" w:eastAsia="方正仿宋_GBK" w:cs="Times New Roman"/>
                <w:color w:val="auto"/>
                <w:sz w:val="24"/>
                <w:szCs w:val="24"/>
              </w:rPr>
              <w:t>50</w:t>
            </w:r>
            <w:bookmarkEnd w:id="138"/>
            <w:bookmarkEnd w:id="139"/>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40" w:name="_Toc24547"/>
            <w:bookmarkStart w:id="141" w:name="_Toc18260"/>
            <w:r>
              <w:rPr>
                <w:rFonts w:hint="eastAsia" w:ascii="Times New Roman" w:eastAsia="方正仿宋_GBK" w:cs="Times New Roman"/>
                <w:color w:val="auto"/>
                <w:sz w:val="24"/>
                <w:szCs w:val="24"/>
                <w:lang w:val="en-US" w:eastAsia="zh-CN"/>
              </w:rPr>
              <w:t>12</w:t>
            </w:r>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茶山街道综合养老服务中心</w:t>
            </w:r>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位于丽华一村社区，面积1500平方米，为老年人提供专业照护、生活照料、居家安全、医养结合、康复保健、精神关爱、委托代办、家政服务、养老咨询、老年教育、文化休闲等服务的街道养老服务综合体。</w:t>
            </w:r>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新建</w:t>
            </w:r>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500</w:t>
            </w:r>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eastAsia" w:ascii="Times New Roman" w:eastAsia="方正仿宋_GBK" w:cs="Times New Roman"/>
                <w:color w:val="auto"/>
                <w:sz w:val="24"/>
                <w:szCs w:val="24"/>
                <w:lang w:val="en-US" w:eastAsia="zh-CN"/>
              </w:rPr>
            </w:pPr>
            <w:r>
              <w:rPr>
                <w:rFonts w:hint="eastAsia" w:ascii="Times New Roman" w:eastAsia="方正仿宋_GBK" w:cs="Times New Roman"/>
                <w:color w:val="auto"/>
                <w:sz w:val="24"/>
                <w:szCs w:val="24"/>
                <w:lang w:val="en-US" w:eastAsia="zh-CN"/>
              </w:rPr>
              <w:t>茶山</w:t>
            </w:r>
          </w:p>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r>
              <w:rPr>
                <w:rFonts w:hint="eastAsia" w:ascii="Times New Roman" w:eastAsia="方正仿宋_GBK" w:cs="Times New Roman"/>
                <w:color w:val="auto"/>
                <w:sz w:val="24"/>
                <w:szCs w:val="24"/>
                <w:lang w:val="en-US" w:eastAsia="zh-CN"/>
              </w:rPr>
              <w:t>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r>
              <w:rPr>
                <w:rFonts w:hint="eastAsia" w:ascii="Times New Roman" w:eastAsia="方正仿宋_GBK" w:cs="Times New Roman"/>
                <w:color w:val="auto"/>
                <w:sz w:val="24"/>
                <w:szCs w:val="24"/>
                <w:lang w:val="en-US" w:eastAsia="zh-CN"/>
              </w:rPr>
              <w:t>13</w:t>
            </w:r>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清凉片区社区居家养老服务站</w:t>
            </w:r>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为辖区内老年人提供日间照料、助餐、助洁、健康管理、辅具租赁、精神关爱、文化休闲、委托代办等服务。</w:t>
            </w:r>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新建</w:t>
            </w:r>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kern w:val="0"/>
                <w:sz w:val="24"/>
                <w:szCs w:val="24"/>
                <w:lang w:val="en-US" w:eastAsia="zh-CN" w:bidi="ar-SA"/>
              </w:rPr>
            </w:pPr>
            <w:r>
              <w:rPr>
                <w:rFonts w:hint="default" w:ascii="Times New Roman" w:hAnsi="Times New Roman" w:eastAsia="方正仿宋_GBK" w:cs="Times New Roman"/>
                <w:color w:val="auto"/>
                <w:sz w:val="24"/>
                <w:szCs w:val="24"/>
              </w:rPr>
              <w:t>550</w:t>
            </w:r>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eastAsia"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1</w:t>
            </w:r>
            <w:bookmarkEnd w:id="140"/>
            <w:bookmarkEnd w:id="141"/>
            <w:r>
              <w:rPr>
                <w:rFonts w:hint="eastAsia" w:ascii="Times New Roman" w:eastAsia="方正仿宋_GBK" w:cs="Times New Roman"/>
                <w:color w:val="auto"/>
                <w:sz w:val="24"/>
                <w:szCs w:val="24"/>
                <w:lang w:val="en-US" w:eastAsia="zh-CN"/>
              </w:rPr>
              <w:t>4</w:t>
            </w:r>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42" w:name="_Toc31193"/>
            <w:bookmarkStart w:id="143" w:name="_Toc9797"/>
            <w:r>
              <w:rPr>
                <w:rFonts w:hint="default" w:ascii="Times New Roman" w:hAnsi="Times New Roman" w:eastAsia="方正仿宋_GBK" w:cs="Times New Roman"/>
                <w:color w:val="auto"/>
                <w:sz w:val="24"/>
                <w:szCs w:val="24"/>
              </w:rPr>
              <w:t>新堂社区居家养老服务中心</w:t>
            </w:r>
            <w:bookmarkEnd w:id="142"/>
            <w:bookmarkEnd w:id="143"/>
          </w:p>
        </w:tc>
        <w:tc>
          <w:tcPr>
            <w:tcW w:w="2220" w:type="pct"/>
            <w:vAlign w:val="center"/>
          </w:tcPr>
          <w:p>
            <w:pPr>
              <w:keepNext w:val="0"/>
              <w:keepLines w:val="0"/>
              <w:pageBreakBefore w:val="0"/>
              <w:widowControl/>
              <w:wordWrap/>
              <w:topLinePunct w:val="0"/>
              <w:bidi w:val="0"/>
              <w:snapToGrid/>
              <w:spacing w:line="310" w:lineRule="exact"/>
              <w:jc w:val="left"/>
              <w:textAlignment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kern w:val="0"/>
                <w:sz w:val="24"/>
                <w:szCs w:val="24"/>
              </w:rPr>
              <w:t>建设新堂社区居家养老服务中心，建筑面积约1200平方米</w:t>
            </w:r>
            <w:r>
              <w:rPr>
                <w:rFonts w:hint="default" w:ascii="Times New Roman" w:hAnsi="Times New Roman" w:eastAsia="方正仿宋_GBK" w:cs="Times New Roman"/>
                <w:color w:val="auto"/>
                <w:kern w:val="0"/>
                <w:sz w:val="24"/>
                <w:szCs w:val="24"/>
                <w:lang w:eastAsia="zh-CN"/>
              </w:rPr>
              <w:t>，</w:t>
            </w:r>
            <w:r>
              <w:rPr>
                <w:rFonts w:hint="default" w:ascii="Times New Roman" w:hAnsi="Times New Roman" w:eastAsia="方正仿宋_GBK" w:cs="Times New Roman"/>
                <w:color w:val="auto"/>
                <w:kern w:val="0"/>
                <w:sz w:val="24"/>
                <w:szCs w:val="24"/>
              </w:rPr>
              <w:t>打造日间照料室、书报阅览室、书画室、棋牌室、多功能影音厅等为老服务功能室。</w:t>
            </w:r>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44" w:name="_Toc12434"/>
            <w:bookmarkStart w:id="145" w:name="_Toc10788"/>
            <w:r>
              <w:rPr>
                <w:rFonts w:hint="default" w:ascii="Times New Roman" w:hAnsi="Times New Roman" w:eastAsia="方正仿宋_GBK" w:cs="Times New Roman"/>
                <w:color w:val="auto"/>
                <w:sz w:val="24"/>
                <w:szCs w:val="24"/>
              </w:rPr>
              <w:t>改造提升</w:t>
            </w:r>
            <w:bookmarkEnd w:id="144"/>
            <w:bookmarkEnd w:id="145"/>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46" w:name="_Toc7141"/>
            <w:bookmarkStart w:id="147" w:name="_Toc14919"/>
            <w:r>
              <w:rPr>
                <w:rFonts w:hint="default" w:ascii="Times New Roman" w:hAnsi="Times New Roman" w:eastAsia="方正仿宋_GBK" w:cs="Times New Roman"/>
                <w:color w:val="auto"/>
                <w:sz w:val="24"/>
                <w:szCs w:val="24"/>
              </w:rPr>
              <w:t>200</w:t>
            </w:r>
            <w:bookmarkEnd w:id="146"/>
            <w:bookmarkEnd w:id="147"/>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48" w:name="_Toc8317"/>
            <w:bookmarkStart w:id="149" w:name="_Toc28731"/>
            <w:r>
              <w:rPr>
                <w:rFonts w:hint="default" w:ascii="Times New Roman" w:hAnsi="Times New Roman" w:eastAsia="方正仿宋_GBK" w:cs="Times New Roman"/>
                <w:color w:val="auto"/>
                <w:sz w:val="24"/>
                <w:szCs w:val="24"/>
              </w:rPr>
              <w:t>红梅</w:t>
            </w:r>
            <w:bookmarkEnd w:id="148"/>
            <w:bookmarkEnd w:id="149"/>
          </w:p>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50" w:name="_Toc11829"/>
            <w:bookmarkStart w:id="151" w:name="_Toc20827"/>
            <w:r>
              <w:rPr>
                <w:rFonts w:hint="default" w:ascii="Times New Roman" w:hAnsi="Times New Roman" w:eastAsia="方正仿宋_GBK" w:cs="Times New Roman"/>
                <w:color w:val="auto"/>
                <w:sz w:val="24"/>
                <w:szCs w:val="24"/>
              </w:rPr>
              <w:t>街道</w:t>
            </w:r>
            <w:bookmarkEnd w:id="150"/>
            <w:bookmarkEnd w:id="1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32"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eastAsia" w:ascii="Times New Roman" w:hAnsi="Times New Roman" w:eastAsia="方正仿宋_GBK" w:cs="Times New Roman"/>
                <w:color w:val="auto"/>
                <w:sz w:val="24"/>
                <w:szCs w:val="24"/>
                <w:lang w:val="en-US" w:eastAsia="zh-CN"/>
              </w:rPr>
            </w:pPr>
            <w:bookmarkStart w:id="152" w:name="_Toc17094"/>
            <w:bookmarkStart w:id="153" w:name="_Toc10465"/>
            <w:r>
              <w:rPr>
                <w:rFonts w:hint="default" w:ascii="Times New Roman" w:hAnsi="Times New Roman" w:eastAsia="方正仿宋_GBK" w:cs="Times New Roman"/>
                <w:color w:val="auto"/>
                <w:sz w:val="24"/>
                <w:szCs w:val="24"/>
              </w:rPr>
              <w:t>1</w:t>
            </w:r>
            <w:bookmarkEnd w:id="152"/>
            <w:bookmarkEnd w:id="153"/>
            <w:r>
              <w:rPr>
                <w:rFonts w:hint="eastAsia" w:ascii="Times New Roman" w:eastAsia="方正仿宋_GBK" w:cs="Times New Roman"/>
                <w:color w:val="auto"/>
                <w:sz w:val="24"/>
                <w:szCs w:val="24"/>
                <w:lang w:val="en-US" w:eastAsia="zh-CN"/>
              </w:rPr>
              <w:t>5</w:t>
            </w:r>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54" w:name="_Toc9822"/>
            <w:bookmarkStart w:id="155" w:name="_Toc25239"/>
            <w:r>
              <w:rPr>
                <w:rFonts w:hint="default" w:ascii="Times New Roman" w:hAnsi="Times New Roman" w:eastAsia="方正仿宋_GBK" w:cs="Times New Roman"/>
                <w:color w:val="auto"/>
                <w:sz w:val="24"/>
                <w:szCs w:val="24"/>
              </w:rPr>
              <w:t>红梅西村社区居家养老服务中心</w:t>
            </w:r>
            <w:bookmarkEnd w:id="154"/>
            <w:bookmarkEnd w:id="155"/>
          </w:p>
        </w:tc>
        <w:tc>
          <w:tcPr>
            <w:tcW w:w="2220" w:type="pct"/>
            <w:vAlign w:val="center"/>
          </w:tcPr>
          <w:p>
            <w:pPr>
              <w:keepNext w:val="0"/>
              <w:keepLines w:val="0"/>
              <w:pageBreakBefore w:val="0"/>
              <w:widowControl/>
              <w:wordWrap/>
              <w:topLinePunct w:val="0"/>
              <w:bidi w:val="0"/>
              <w:snapToGrid/>
              <w:spacing w:line="300" w:lineRule="exact"/>
              <w:jc w:val="left"/>
              <w:textAlignment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kern w:val="0"/>
                <w:sz w:val="24"/>
                <w:szCs w:val="24"/>
              </w:rPr>
              <w:t>建设红梅西村社区居家养老服务中心，建筑面积约800平方米，打造日间照料室、书报阅览室、书画室、棋牌室、多功能影音厅等为老服务功能室。</w:t>
            </w:r>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56" w:name="_Toc20381"/>
            <w:bookmarkStart w:id="157" w:name="_Toc23959"/>
            <w:r>
              <w:rPr>
                <w:rFonts w:hint="default" w:ascii="Times New Roman" w:hAnsi="Times New Roman" w:eastAsia="方正仿宋_GBK" w:cs="Times New Roman"/>
                <w:color w:val="auto"/>
                <w:sz w:val="24"/>
                <w:szCs w:val="24"/>
              </w:rPr>
              <w:t>改造提升</w:t>
            </w:r>
            <w:bookmarkEnd w:id="156"/>
            <w:bookmarkEnd w:id="157"/>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58" w:name="_Toc26897"/>
            <w:bookmarkStart w:id="159" w:name="_Toc78"/>
            <w:r>
              <w:rPr>
                <w:rFonts w:hint="default" w:ascii="Times New Roman" w:hAnsi="Times New Roman" w:eastAsia="方正仿宋_GBK" w:cs="Times New Roman"/>
                <w:color w:val="auto"/>
                <w:sz w:val="24"/>
                <w:szCs w:val="24"/>
              </w:rPr>
              <w:t>200</w:t>
            </w:r>
            <w:bookmarkEnd w:id="158"/>
            <w:bookmarkEnd w:id="159"/>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60" w:name="_Toc15014"/>
            <w:bookmarkStart w:id="161" w:name="_Toc31090"/>
            <w:r>
              <w:rPr>
                <w:rFonts w:hint="default" w:ascii="Times New Roman" w:hAnsi="Times New Roman" w:eastAsia="方正仿宋_GBK" w:cs="Times New Roman"/>
                <w:color w:val="auto"/>
                <w:sz w:val="24"/>
                <w:szCs w:val="24"/>
              </w:rPr>
              <w:t>16</w:t>
            </w:r>
            <w:bookmarkEnd w:id="160"/>
            <w:bookmarkEnd w:id="161"/>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62" w:name="_Toc9752"/>
            <w:bookmarkStart w:id="163" w:name="_Toc30321"/>
            <w:r>
              <w:rPr>
                <w:rFonts w:hint="default" w:ascii="Times New Roman" w:hAnsi="Times New Roman" w:eastAsia="方正仿宋_GBK" w:cs="Times New Roman"/>
                <w:color w:val="auto"/>
                <w:sz w:val="24"/>
                <w:szCs w:val="24"/>
              </w:rPr>
              <w:t>天宁街道养老服务中心</w:t>
            </w:r>
            <w:bookmarkEnd w:id="162"/>
            <w:bookmarkEnd w:id="163"/>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sz w:val="24"/>
                <w:szCs w:val="24"/>
              </w:rPr>
            </w:pPr>
            <w:bookmarkStart w:id="164" w:name="_Toc7834"/>
            <w:bookmarkStart w:id="165" w:name="_Toc20257"/>
            <w:r>
              <w:rPr>
                <w:rFonts w:hint="default" w:ascii="Times New Roman" w:hAnsi="Times New Roman" w:eastAsia="方正仿宋_GBK" w:cs="Times New Roman"/>
                <w:color w:val="auto"/>
                <w:sz w:val="24"/>
                <w:szCs w:val="24"/>
              </w:rPr>
              <w:t>在小东门社区建筑面积约1000 平方米，打造智慧养老平台、日间照料、上门服务、助餐等功能为一体的街道级综合性养老服务中心。</w:t>
            </w:r>
            <w:bookmarkEnd w:id="164"/>
            <w:bookmarkEnd w:id="165"/>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66" w:name="_Toc2697"/>
            <w:bookmarkStart w:id="167" w:name="_Toc25964"/>
            <w:r>
              <w:rPr>
                <w:rFonts w:hint="default" w:ascii="Times New Roman" w:hAnsi="Times New Roman" w:eastAsia="方正仿宋_GBK" w:cs="Times New Roman"/>
                <w:color w:val="auto"/>
                <w:sz w:val="24"/>
                <w:szCs w:val="24"/>
                <w:lang w:val="en-US" w:eastAsia="zh-CN"/>
              </w:rPr>
              <w:t>改址新建</w:t>
            </w:r>
            <w:bookmarkEnd w:id="166"/>
            <w:bookmarkEnd w:id="167"/>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68" w:name="_Toc7488"/>
            <w:bookmarkStart w:id="169" w:name="_Toc10875"/>
            <w:r>
              <w:rPr>
                <w:rFonts w:hint="default" w:ascii="Times New Roman" w:hAnsi="Times New Roman" w:eastAsia="方正仿宋_GBK" w:cs="Times New Roman"/>
                <w:color w:val="auto"/>
                <w:sz w:val="24"/>
                <w:szCs w:val="24"/>
                <w:lang w:val="en-US" w:eastAsia="zh-CN"/>
              </w:rPr>
              <w:t>350</w:t>
            </w:r>
            <w:bookmarkEnd w:id="168"/>
            <w:bookmarkEnd w:id="169"/>
          </w:p>
        </w:tc>
        <w:tc>
          <w:tcPr>
            <w:tcW w:w="522" w:type="pct"/>
            <w:vMerge w:val="restar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70" w:name="_Toc26447"/>
            <w:bookmarkStart w:id="171" w:name="_Toc28207"/>
            <w:r>
              <w:rPr>
                <w:rFonts w:hint="default" w:ascii="Times New Roman" w:hAnsi="Times New Roman" w:eastAsia="方正仿宋_GBK" w:cs="Times New Roman"/>
                <w:color w:val="auto"/>
                <w:sz w:val="24"/>
                <w:szCs w:val="24"/>
                <w:lang w:val="en-US" w:eastAsia="zh-CN"/>
              </w:rPr>
              <w:t>天宁</w:t>
            </w:r>
            <w:bookmarkEnd w:id="170"/>
            <w:bookmarkEnd w:id="171"/>
          </w:p>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72" w:name="_Toc14340"/>
            <w:bookmarkStart w:id="173" w:name="_Toc11584"/>
            <w:r>
              <w:rPr>
                <w:rFonts w:hint="default" w:ascii="Times New Roman" w:hAnsi="Times New Roman" w:eastAsia="方正仿宋_GBK" w:cs="Times New Roman"/>
                <w:color w:val="auto"/>
                <w:sz w:val="24"/>
                <w:szCs w:val="24"/>
                <w:lang w:val="en-US" w:eastAsia="zh-CN"/>
              </w:rPr>
              <w:t>街道</w:t>
            </w:r>
            <w:bookmarkEnd w:id="172"/>
            <w:bookmarkEnd w:id="1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74" w:name="_Toc8198"/>
            <w:bookmarkStart w:id="175" w:name="_Toc11173"/>
            <w:r>
              <w:rPr>
                <w:rFonts w:hint="default" w:ascii="Times New Roman" w:hAnsi="Times New Roman" w:eastAsia="方正仿宋_GBK" w:cs="Times New Roman"/>
                <w:color w:val="auto"/>
                <w:sz w:val="24"/>
                <w:szCs w:val="24"/>
              </w:rPr>
              <w:t>17</w:t>
            </w:r>
            <w:bookmarkEnd w:id="174"/>
            <w:bookmarkEnd w:id="175"/>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76" w:name="_Toc9370"/>
            <w:bookmarkStart w:id="177" w:name="_Toc4885"/>
            <w:r>
              <w:rPr>
                <w:rFonts w:hint="default" w:ascii="Times New Roman" w:hAnsi="Times New Roman" w:eastAsia="方正仿宋_GBK" w:cs="Times New Roman"/>
                <w:color w:val="auto"/>
                <w:sz w:val="24"/>
                <w:szCs w:val="24"/>
                <w:lang w:val="en-US" w:eastAsia="zh-CN"/>
              </w:rPr>
              <w:t>通济桥社区居家养老服务站</w:t>
            </w:r>
            <w:bookmarkEnd w:id="176"/>
            <w:bookmarkEnd w:id="177"/>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sz w:val="24"/>
                <w:szCs w:val="24"/>
              </w:rPr>
            </w:pPr>
            <w:bookmarkStart w:id="178" w:name="_Toc13880"/>
            <w:bookmarkStart w:id="179" w:name="_Toc27806"/>
            <w:r>
              <w:rPr>
                <w:rFonts w:hint="default" w:ascii="Times New Roman" w:hAnsi="Times New Roman" w:eastAsia="方正仿宋_GBK" w:cs="Times New Roman"/>
                <w:color w:val="auto"/>
                <w:sz w:val="24"/>
                <w:szCs w:val="24"/>
                <w:lang w:val="en-US" w:eastAsia="zh-CN"/>
              </w:rPr>
              <w:t>社区居家养老服务站，</w:t>
            </w:r>
            <w:r>
              <w:rPr>
                <w:rFonts w:hint="default" w:ascii="Times New Roman" w:hAnsi="Times New Roman" w:eastAsia="方正仿宋_GBK" w:cs="Times New Roman"/>
                <w:color w:val="auto"/>
                <w:sz w:val="24"/>
                <w:szCs w:val="24"/>
              </w:rPr>
              <w:t>建筑面积约500平方米，</w:t>
            </w:r>
            <w:r>
              <w:rPr>
                <w:rFonts w:hint="default" w:ascii="Times New Roman" w:hAnsi="Times New Roman" w:eastAsia="方正仿宋_GBK" w:cs="Times New Roman"/>
                <w:color w:val="auto"/>
                <w:sz w:val="24"/>
                <w:szCs w:val="24"/>
                <w:lang w:val="en-US" w:eastAsia="zh-CN"/>
              </w:rPr>
              <w:t>为辖区内老年人提供日间照料、助餐、助洁、健康管理、辅具租赁、精神关爱、文化休闲、委托代办等服务</w:t>
            </w:r>
            <w:r>
              <w:rPr>
                <w:rFonts w:hint="default" w:ascii="Times New Roman" w:hAnsi="Times New Roman" w:eastAsia="方正仿宋_GBK" w:cs="Times New Roman"/>
                <w:color w:val="auto"/>
                <w:sz w:val="24"/>
                <w:szCs w:val="24"/>
              </w:rPr>
              <w:t>。</w:t>
            </w:r>
            <w:bookmarkEnd w:id="178"/>
            <w:bookmarkEnd w:id="179"/>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80" w:name="_Toc7705"/>
            <w:bookmarkStart w:id="181" w:name="_Toc6795"/>
            <w:r>
              <w:rPr>
                <w:rFonts w:hint="default" w:ascii="Times New Roman" w:hAnsi="Times New Roman" w:eastAsia="方正仿宋_GBK" w:cs="Times New Roman"/>
                <w:color w:val="auto"/>
                <w:sz w:val="24"/>
                <w:szCs w:val="24"/>
              </w:rPr>
              <w:t>新建</w:t>
            </w:r>
            <w:bookmarkEnd w:id="180"/>
            <w:bookmarkEnd w:id="181"/>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bookmarkStart w:id="182" w:name="_Toc18049"/>
            <w:bookmarkStart w:id="183" w:name="_Toc31819"/>
            <w:r>
              <w:rPr>
                <w:rFonts w:hint="default" w:ascii="Times New Roman" w:hAnsi="Times New Roman" w:eastAsia="方正仿宋_GBK" w:cs="Times New Roman"/>
                <w:color w:val="auto"/>
                <w:sz w:val="24"/>
                <w:szCs w:val="24"/>
                <w:lang w:val="en-US" w:eastAsia="zh-CN"/>
              </w:rPr>
              <w:t>2</w:t>
            </w:r>
            <w:r>
              <w:rPr>
                <w:rFonts w:hint="default" w:ascii="Times New Roman" w:hAnsi="Times New Roman" w:eastAsia="方正仿宋_GBK" w:cs="Times New Roman"/>
                <w:color w:val="auto"/>
                <w:sz w:val="24"/>
                <w:szCs w:val="24"/>
              </w:rPr>
              <w:t>00</w:t>
            </w:r>
            <w:bookmarkEnd w:id="182"/>
            <w:bookmarkEnd w:id="183"/>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73"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84" w:name="_Toc787"/>
            <w:bookmarkStart w:id="185" w:name="_Toc19054"/>
            <w:r>
              <w:rPr>
                <w:rFonts w:hint="default" w:ascii="Times New Roman" w:hAnsi="Times New Roman" w:eastAsia="方正仿宋_GBK" w:cs="Times New Roman"/>
                <w:color w:val="auto"/>
                <w:sz w:val="24"/>
                <w:szCs w:val="24"/>
                <w:lang w:val="en-US" w:eastAsia="zh-CN"/>
              </w:rPr>
              <w:t>18</w:t>
            </w:r>
            <w:bookmarkEnd w:id="184"/>
            <w:bookmarkEnd w:id="185"/>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86" w:name="_Toc27688"/>
            <w:bookmarkStart w:id="187" w:name="_Toc8726"/>
            <w:r>
              <w:rPr>
                <w:rFonts w:hint="default" w:ascii="Times New Roman" w:hAnsi="Times New Roman" w:eastAsia="方正仿宋_GBK" w:cs="Times New Roman"/>
                <w:color w:val="auto"/>
                <w:sz w:val="24"/>
                <w:szCs w:val="24"/>
                <w:lang w:val="en-US" w:eastAsia="zh-CN"/>
              </w:rPr>
              <w:t>北直街社区居家养老服务站</w:t>
            </w:r>
            <w:bookmarkEnd w:id="186"/>
            <w:bookmarkEnd w:id="187"/>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sz w:val="24"/>
                <w:szCs w:val="24"/>
                <w:lang w:val="en-US" w:eastAsia="zh-CN"/>
              </w:rPr>
            </w:pPr>
            <w:bookmarkStart w:id="188" w:name="_Toc17581"/>
            <w:bookmarkStart w:id="189" w:name="_Toc20387"/>
            <w:r>
              <w:rPr>
                <w:rFonts w:hint="default" w:ascii="Times New Roman" w:hAnsi="Times New Roman" w:eastAsia="方正仿宋_GBK" w:cs="Times New Roman"/>
                <w:color w:val="auto"/>
                <w:sz w:val="24"/>
                <w:szCs w:val="24"/>
                <w:lang w:val="en-US" w:eastAsia="zh-CN"/>
              </w:rPr>
              <w:t>社区居家养老服务站，建筑面积约200平方米，为辖区老年人提供日间照料、助餐、助洁、健康管理、精神关爱、文化休闲等服务。</w:t>
            </w:r>
            <w:bookmarkEnd w:id="188"/>
            <w:bookmarkEnd w:id="189"/>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90" w:name="_Toc6058"/>
            <w:bookmarkStart w:id="191" w:name="_Toc20728"/>
            <w:r>
              <w:rPr>
                <w:rFonts w:hint="default" w:ascii="Times New Roman" w:hAnsi="Times New Roman" w:eastAsia="方正仿宋_GBK" w:cs="Times New Roman"/>
                <w:color w:val="auto"/>
                <w:sz w:val="24"/>
                <w:szCs w:val="24"/>
                <w:lang w:val="en-US" w:eastAsia="zh-CN"/>
              </w:rPr>
              <w:t>改造提升</w:t>
            </w:r>
            <w:bookmarkEnd w:id="190"/>
            <w:bookmarkEnd w:id="191"/>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92" w:name="_Toc17119"/>
            <w:bookmarkStart w:id="193" w:name="_Toc14101"/>
            <w:r>
              <w:rPr>
                <w:rFonts w:hint="default" w:ascii="Times New Roman" w:hAnsi="Times New Roman" w:eastAsia="方正仿宋_GBK" w:cs="Times New Roman"/>
                <w:color w:val="auto"/>
                <w:sz w:val="24"/>
                <w:szCs w:val="24"/>
                <w:lang w:val="en-US" w:eastAsia="zh-CN"/>
              </w:rPr>
              <w:t>100</w:t>
            </w:r>
            <w:bookmarkEnd w:id="192"/>
            <w:bookmarkEnd w:id="193"/>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05"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94" w:name="_Toc8415"/>
            <w:bookmarkStart w:id="195" w:name="_Toc15175"/>
            <w:r>
              <w:rPr>
                <w:rFonts w:hint="default" w:ascii="Times New Roman" w:hAnsi="Times New Roman" w:eastAsia="方正仿宋_GBK" w:cs="Times New Roman"/>
                <w:color w:val="auto"/>
                <w:sz w:val="24"/>
                <w:szCs w:val="24"/>
                <w:lang w:val="en-US" w:eastAsia="zh-CN"/>
              </w:rPr>
              <w:t>19</w:t>
            </w:r>
            <w:bookmarkEnd w:id="194"/>
            <w:bookmarkEnd w:id="195"/>
          </w:p>
        </w:tc>
        <w:tc>
          <w:tcPr>
            <w:tcW w:w="678"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196" w:name="_Toc780"/>
            <w:bookmarkStart w:id="197" w:name="_Toc22967"/>
            <w:r>
              <w:rPr>
                <w:rFonts w:hint="default" w:ascii="Times New Roman" w:hAnsi="Times New Roman" w:eastAsia="方正仿宋_GBK" w:cs="Times New Roman"/>
                <w:color w:val="auto"/>
                <w:sz w:val="24"/>
                <w:szCs w:val="24"/>
                <w:lang w:val="en-US" w:eastAsia="zh-CN"/>
              </w:rPr>
              <w:t>舣舟亭社区老少活动室</w:t>
            </w:r>
            <w:bookmarkEnd w:id="196"/>
            <w:bookmarkEnd w:id="197"/>
          </w:p>
        </w:tc>
        <w:tc>
          <w:tcPr>
            <w:tcW w:w="2220" w:type="pct"/>
            <w:vAlign w:val="center"/>
          </w:tcPr>
          <w:p>
            <w:pPr>
              <w:pStyle w:val="15"/>
              <w:keepNext w:val="0"/>
              <w:keepLines w:val="0"/>
              <w:pageBreakBefore w:val="0"/>
              <w:kinsoku w:val="0"/>
              <w:wordWrap/>
              <w:overflowPunct w:val="0"/>
              <w:topLinePunct w:val="0"/>
              <w:bidi w:val="0"/>
              <w:snapToGrid/>
              <w:spacing w:line="300" w:lineRule="exact"/>
              <w:outlineLvl w:val="9"/>
              <w:rPr>
                <w:rFonts w:hint="default" w:ascii="Times New Roman" w:hAnsi="Times New Roman" w:eastAsia="方正仿宋_GBK" w:cs="Times New Roman"/>
                <w:color w:val="auto"/>
                <w:sz w:val="24"/>
                <w:szCs w:val="24"/>
                <w:lang w:val="en-US" w:eastAsia="zh-CN"/>
              </w:rPr>
            </w:pPr>
            <w:bookmarkStart w:id="198" w:name="_Toc16769"/>
            <w:bookmarkStart w:id="199" w:name="_Toc25089"/>
            <w:r>
              <w:rPr>
                <w:rFonts w:hint="default" w:ascii="Times New Roman" w:hAnsi="Times New Roman" w:eastAsia="方正仿宋_GBK" w:cs="Times New Roman"/>
                <w:color w:val="auto"/>
                <w:spacing w:val="-6"/>
                <w:sz w:val="24"/>
                <w:szCs w:val="24"/>
                <w:lang w:val="en-US" w:eastAsia="zh-CN"/>
              </w:rPr>
              <w:t>舣舟亭社区居家养老服务站，建</w:t>
            </w:r>
            <w:r>
              <w:rPr>
                <w:rFonts w:hint="default" w:ascii="Times New Roman" w:hAnsi="Times New Roman" w:eastAsia="方正仿宋_GBK" w:cs="Times New Roman"/>
                <w:color w:val="auto"/>
                <w:sz w:val="24"/>
                <w:szCs w:val="24"/>
                <w:lang w:val="en-US" w:eastAsia="zh-CN"/>
              </w:rPr>
              <w:t>筑面积约200平方米，完善社区的养老服务和亲子活动服务。</w:t>
            </w:r>
            <w:bookmarkEnd w:id="198"/>
            <w:bookmarkEnd w:id="199"/>
          </w:p>
        </w:tc>
        <w:tc>
          <w:tcPr>
            <w:tcW w:w="661"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200" w:name="_Toc10974"/>
            <w:bookmarkStart w:id="201" w:name="_Toc24962"/>
            <w:r>
              <w:rPr>
                <w:rFonts w:hint="default" w:ascii="Times New Roman" w:hAnsi="Times New Roman" w:eastAsia="方正仿宋_GBK" w:cs="Times New Roman"/>
                <w:color w:val="auto"/>
                <w:sz w:val="24"/>
                <w:szCs w:val="24"/>
                <w:lang w:val="en-US" w:eastAsia="zh-CN"/>
              </w:rPr>
              <w:t>新建</w:t>
            </w:r>
            <w:bookmarkEnd w:id="200"/>
            <w:bookmarkEnd w:id="201"/>
          </w:p>
        </w:tc>
        <w:tc>
          <w:tcPr>
            <w:tcW w:w="54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202" w:name="_Toc17803"/>
            <w:bookmarkStart w:id="203" w:name="_Toc4182"/>
            <w:r>
              <w:rPr>
                <w:rFonts w:hint="default" w:ascii="Times New Roman" w:hAnsi="Times New Roman" w:eastAsia="方正仿宋_GBK" w:cs="Times New Roman"/>
                <w:color w:val="auto"/>
                <w:sz w:val="24"/>
                <w:szCs w:val="24"/>
                <w:lang w:val="en-US" w:eastAsia="zh-CN"/>
              </w:rPr>
              <w:t>100</w:t>
            </w:r>
            <w:bookmarkEnd w:id="202"/>
            <w:bookmarkEnd w:id="203"/>
          </w:p>
        </w:tc>
        <w:tc>
          <w:tcPr>
            <w:tcW w:w="522" w:type="pct"/>
            <w:vMerge w:val="continue"/>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204" w:name="_Toc1641"/>
            <w:bookmarkStart w:id="205" w:name="_Toc13445"/>
            <w:r>
              <w:rPr>
                <w:rFonts w:hint="default" w:ascii="Times New Roman" w:hAnsi="Times New Roman" w:eastAsia="方正仿宋_GBK" w:cs="Times New Roman"/>
                <w:color w:val="auto"/>
                <w:sz w:val="24"/>
                <w:szCs w:val="24"/>
                <w:lang w:val="en-US" w:eastAsia="zh-CN"/>
              </w:rPr>
              <w:t>20</w:t>
            </w:r>
            <w:bookmarkEnd w:id="204"/>
            <w:bookmarkEnd w:id="205"/>
          </w:p>
        </w:tc>
        <w:tc>
          <w:tcPr>
            <w:tcW w:w="678"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上城社区居家养老服务站</w:t>
            </w:r>
          </w:p>
        </w:tc>
        <w:tc>
          <w:tcPr>
            <w:tcW w:w="2220" w:type="pct"/>
            <w:vAlign w:val="center"/>
          </w:tcPr>
          <w:p>
            <w:pPr>
              <w:keepNext w:val="0"/>
              <w:keepLines w:val="0"/>
              <w:pageBreakBefore w:val="0"/>
              <w:wordWrap/>
              <w:topLinePunct w:val="0"/>
              <w:bidi w:val="0"/>
              <w:snapToGrid/>
              <w:spacing w:line="30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社区居家养老服务站，建筑面积约800平方米，为辖区内的老人提供助餐、心理咨询、精神关爱、文化休闲等服务，完善社区居家养老服务设施。</w:t>
            </w:r>
          </w:p>
        </w:tc>
        <w:tc>
          <w:tcPr>
            <w:tcW w:w="661"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改造提升</w:t>
            </w:r>
          </w:p>
        </w:tc>
        <w:tc>
          <w:tcPr>
            <w:tcW w:w="543"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r>
              <w:rPr>
                <w:rFonts w:hint="default" w:ascii="Times New Roman" w:hAnsi="Times New Roman" w:eastAsia="方正仿宋_GBK" w:cs="Times New Roman"/>
                <w:color w:val="auto"/>
                <w:sz w:val="24"/>
                <w:szCs w:val="24"/>
                <w:lang w:val="en-US" w:eastAsia="zh-CN"/>
              </w:rPr>
              <w:t>5</w:t>
            </w:r>
            <w:r>
              <w:rPr>
                <w:rFonts w:hint="default" w:ascii="Times New Roman" w:hAnsi="Times New Roman" w:eastAsia="方正仿宋_GBK" w:cs="Times New Roman"/>
                <w:color w:val="auto"/>
                <w:sz w:val="24"/>
                <w:szCs w:val="24"/>
              </w:rPr>
              <w:t>0</w:t>
            </w:r>
          </w:p>
        </w:tc>
        <w:tc>
          <w:tcPr>
            <w:tcW w:w="522" w:type="pct"/>
            <w:vMerge w:val="restar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兰陵</w:t>
            </w:r>
          </w:p>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val="en-US" w:eastAsia="zh-CN"/>
              </w:rPr>
            </w:pPr>
            <w:bookmarkStart w:id="206" w:name="_Toc19425"/>
            <w:bookmarkStart w:id="207" w:name="_Toc4493"/>
            <w:r>
              <w:rPr>
                <w:rFonts w:hint="default" w:ascii="Times New Roman" w:hAnsi="Times New Roman" w:eastAsia="方正仿宋_GBK" w:cs="Times New Roman"/>
                <w:color w:val="auto"/>
                <w:sz w:val="24"/>
                <w:szCs w:val="24"/>
                <w:lang w:val="en-US" w:eastAsia="zh-CN"/>
              </w:rPr>
              <w:t>21</w:t>
            </w:r>
            <w:bookmarkEnd w:id="206"/>
            <w:bookmarkEnd w:id="207"/>
          </w:p>
        </w:tc>
        <w:tc>
          <w:tcPr>
            <w:tcW w:w="678"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九洲新世界社区居家养老服务站</w:t>
            </w:r>
          </w:p>
        </w:tc>
        <w:tc>
          <w:tcPr>
            <w:tcW w:w="2220" w:type="pct"/>
            <w:vAlign w:val="center"/>
          </w:tcPr>
          <w:p>
            <w:pPr>
              <w:keepNext w:val="0"/>
              <w:keepLines w:val="0"/>
              <w:pageBreakBefore w:val="0"/>
              <w:wordWrap/>
              <w:topLinePunct w:val="0"/>
              <w:bidi w:val="0"/>
              <w:snapToGrid/>
              <w:spacing w:line="30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社区居家养老服务站，建筑面积约200平方米，为辖区内的老人提供助餐、精神关爱、养老咨询等为老服务功能室。</w:t>
            </w:r>
          </w:p>
        </w:tc>
        <w:tc>
          <w:tcPr>
            <w:tcW w:w="661"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改造提升</w:t>
            </w:r>
          </w:p>
        </w:tc>
        <w:tc>
          <w:tcPr>
            <w:tcW w:w="543"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50</w:t>
            </w:r>
          </w:p>
        </w:tc>
        <w:tc>
          <w:tcPr>
            <w:tcW w:w="522" w:type="pct"/>
            <w:vMerge w:val="continue"/>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73" w:type="pct"/>
            <w:vAlign w:val="center"/>
          </w:tcPr>
          <w:p>
            <w:pPr>
              <w:pStyle w:val="15"/>
              <w:keepNext w:val="0"/>
              <w:keepLines w:val="0"/>
              <w:pageBreakBefore w:val="0"/>
              <w:kinsoku w:val="0"/>
              <w:wordWrap/>
              <w:overflowPunct w:val="0"/>
              <w:topLinePunct w:val="0"/>
              <w:bidi w:val="0"/>
              <w:snapToGrid/>
              <w:spacing w:line="310" w:lineRule="exact"/>
              <w:jc w:val="center"/>
              <w:outlineLvl w:val="9"/>
              <w:rPr>
                <w:rFonts w:hint="default" w:ascii="Times New Roman" w:hAnsi="Times New Roman" w:eastAsia="方正仿宋_GBK" w:cs="Times New Roman"/>
                <w:color w:val="auto"/>
                <w:sz w:val="24"/>
                <w:szCs w:val="24"/>
                <w:lang w:eastAsia="zh-CN"/>
              </w:rPr>
            </w:pPr>
            <w:bookmarkStart w:id="208" w:name="_Toc17810"/>
            <w:bookmarkStart w:id="209" w:name="_Toc30785"/>
            <w:r>
              <w:rPr>
                <w:rFonts w:hint="default" w:ascii="Times New Roman" w:hAnsi="Times New Roman" w:eastAsia="方正仿宋_GBK" w:cs="Times New Roman"/>
                <w:color w:val="auto"/>
                <w:sz w:val="24"/>
                <w:szCs w:val="24"/>
              </w:rPr>
              <w:t>2</w:t>
            </w:r>
            <w:r>
              <w:rPr>
                <w:rFonts w:hint="default" w:ascii="Times New Roman" w:hAnsi="Times New Roman" w:eastAsia="方正仿宋_GBK" w:cs="Times New Roman"/>
                <w:color w:val="auto"/>
                <w:sz w:val="24"/>
                <w:szCs w:val="24"/>
                <w:lang w:val="en-US" w:eastAsia="zh-CN"/>
              </w:rPr>
              <w:t>2</w:t>
            </w:r>
            <w:bookmarkEnd w:id="208"/>
            <w:bookmarkEnd w:id="209"/>
          </w:p>
        </w:tc>
        <w:tc>
          <w:tcPr>
            <w:tcW w:w="678"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一老一小服务阵地建设</w:t>
            </w:r>
          </w:p>
        </w:tc>
        <w:tc>
          <w:tcPr>
            <w:tcW w:w="2220" w:type="pct"/>
            <w:vAlign w:val="center"/>
          </w:tcPr>
          <w:p>
            <w:pPr>
              <w:keepNext w:val="0"/>
              <w:keepLines w:val="0"/>
              <w:pageBreakBefore w:val="0"/>
              <w:wordWrap/>
              <w:topLinePunct w:val="0"/>
              <w:bidi w:val="0"/>
              <w:snapToGrid/>
              <w:spacing w:line="30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原工人新村幼儿园，作为工人新村居家养老活动中心及亲子活动室，建筑面积约800平方米，完善社区的养老服务和普惠托育服务。</w:t>
            </w:r>
          </w:p>
        </w:tc>
        <w:tc>
          <w:tcPr>
            <w:tcW w:w="661"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改造提升</w:t>
            </w:r>
          </w:p>
        </w:tc>
        <w:tc>
          <w:tcPr>
            <w:tcW w:w="543" w:type="pct"/>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1</w:t>
            </w:r>
            <w:r>
              <w:rPr>
                <w:rFonts w:hint="default" w:ascii="Times New Roman" w:hAnsi="Times New Roman" w:eastAsia="方正仿宋_GBK" w:cs="Times New Roman"/>
                <w:color w:val="auto"/>
                <w:sz w:val="24"/>
                <w:szCs w:val="24"/>
                <w:lang w:val="en-US" w:eastAsia="zh-CN"/>
              </w:rPr>
              <w:t>5</w:t>
            </w:r>
            <w:r>
              <w:rPr>
                <w:rFonts w:hint="default" w:ascii="Times New Roman" w:hAnsi="Times New Roman" w:eastAsia="方正仿宋_GBK" w:cs="Times New Roman"/>
                <w:color w:val="auto"/>
                <w:sz w:val="24"/>
                <w:szCs w:val="24"/>
              </w:rPr>
              <w:t>0</w:t>
            </w:r>
          </w:p>
        </w:tc>
        <w:tc>
          <w:tcPr>
            <w:tcW w:w="522" w:type="pct"/>
            <w:vMerge w:val="continue"/>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3271" w:type="pct"/>
            <w:gridSpan w:val="3"/>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b/>
                <w:bCs/>
                <w:color w:val="auto"/>
                <w:sz w:val="24"/>
                <w:szCs w:val="24"/>
              </w:rPr>
              <w:t>合计预算投入</w:t>
            </w:r>
          </w:p>
        </w:tc>
        <w:tc>
          <w:tcPr>
            <w:tcW w:w="1728" w:type="pct"/>
            <w:gridSpan w:val="3"/>
            <w:vAlign w:val="center"/>
          </w:tcPr>
          <w:p>
            <w:pPr>
              <w:keepNext w:val="0"/>
              <w:keepLines w:val="0"/>
              <w:pageBreakBefore w:val="0"/>
              <w:wordWrap/>
              <w:topLinePunct w:val="0"/>
              <w:bidi w:val="0"/>
              <w:snapToGrid/>
              <w:spacing w:line="310" w:lineRule="exact"/>
              <w:jc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6450</w:t>
            </w:r>
          </w:p>
        </w:tc>
      </w:tr>
    </w:tbl>
    <w:tbl>
      <w:tblPr>
        <w:tblStyle w:val="7"/>
        <w:tblpPr w:leftFromText="181" w:rightFromText="181" w:horzAnchor="margin" w:tblpXSpec="center" w:tblpYSpec="bottom"/>
        <w:tblW w:w="0" w:type="auto"/>
        <w:tblInd w:w="0" w:type="dxa"/>
        <w:tblBorders>
          <w:top w:val="single" w:color="auto" w:sz="8" w:space="0"/>
          <w:left w:val="none" w:color="auto" w:sz="0" w:space="0"/>
          <w:bottom w:val="single" w:color="auto" w:sz="8" w:space="0"/>
          <w:right w:val="none" w:color="auto" w:sz="0" w:space="0"/>
          <w:insideH w:val="single" w:color="auto" w:sz="6"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8" w:space="0"/>
            <w:left w:val="none" w:color="auto" w:sz="0" w:space="0"/>
            <w:bottom w:val="single" w:color="auto" w:sz="8" w:space="0"/>
            <w:right w:val="none" w:color="auto" w:sz="0" w:space="0"/>
            <w:insideH w:val="single" w:color="auto" w:sz="6" w:space="0"/>
            <w:insideV w:val="none" w:color="auto" w:sz="0" w:space="0"/>
          </w:tblBorders>
          <w:tblCellMar>
            <w:top w:w="0" w:type="dxa"/>
            <w:left w:w="108" w:type="dxa"/>
            <w:bottom w:w="0" w:type="dxa"/>
            <w:right w:w="108" w:type="dxa"/>
          </w:tblCellMar>
        </w:tblPrEx>
        <w:tc>
          <w:tcPr>
            <w:tcW w:w="8845" w:type="dxa"/>
            <w:noWrap w:val="0"/>
            <w:vAlign w:val="top"/>
          </w:tcPr>
          <w:p>
            <w:pPr>
              <w:spacing w:line="560" w:lineRule="exact"/>
              <w:ind w:left="0" w:leftChars="0" w:right="210" w:rightChars="100" w:firstLine="280" w:firstLineChars="1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常州市天宁区人民政府办公室         </w:t>
            </w:r>
            <w:r>
              <w:rPr>
                <w:rFonts w:hint="eastAsia"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rPr>
              <w:t xml:space="preserve"> 202</w:t>
            </w:r>
            <w:r>
              <w:rPr>
                <w:rFonts w:hint="eastAsia" w:ascii="Times New Roman" w:hAnsi="Times New Roman" w:cs="Times New Roman"/>
                <w:sz w:val="28"/>
                <w:szCs w:val="28"/>
                <w:lang w:val="en-US" w:eastAsia="zh-CN"/>
              </w:rPr>
              <w:t>2</w:t>
            </w:r>
            <w:r>
              <w:rPr>
                <w:rFonts w:hint="default" w:ascii="Times New Roman" w:hAnsi="Times New Roman" w:eastAsia="方正仿宋_GBK" w:cs="Times New Roman"/>
                <w:sz w:val="28"/>
                <w:szCs w:val="28"/>
              </w:rPr>
              <w:t>年</w:t>
            </w:r>
            <w:r>
              <w:rPr>
                <w:rFonts w:hint="eastAsia" w:ascii="Times New Roman" w:hAnsi="Times New Roman" w:cs="Times New Roman"/>
                <w:sz w:val="28"/>
                <w:szCs w:val="28"/>
                <w:lang w:val="en-US" w:eastAsia="zh-CN"/>
              </w:rPr>
              <w:t>7</w:t>
            </w:r>
            <w:r>
              <w:rPr>
                <w:rFonts w:hint="default" w:ascii="Times New Roman" w:hAnsi="Times New Roman" w:eastAsia="方正仿宋_GBK" w:cs="Times New Roman"/>
                <w:sz w:val="28"/>
                <w:szCs w:val="28"/>
              </w:rPr>
              <w:t>月</w:t>
            </w:r>
            <w:r>
              <w:rPr>
                <w:rFonts w:hint="eastAsia" w:ascii="Times New Roman" w:hAnsi="Times New Roman" w:cs="Times New Roman"/>
                <w:sz w:val="28"/>
                <w:szCs w:val="28"/>
                <w:lang w:val="en-US" w:eastAsia="zh-CN"/>
              </w:rPr>
              <w:t>19</w:t>
            </w:r>
            <w:r>
              <w:rPr>
                <w:rFonts w:hint="default" w:ascii="Times New Roman" w:hAnsi="Times New Roman" w:eastAsia="方正仿宋_GBK" w:cs="Times New Roman"/>
                <w:sz w:val="28"/>
                <w:szCs w:val="28"/>
              </w:rPr>
              <w:t>日印发</w:t>
            </w:r>
          </w:p>
        </w:tc>
      </w:tr>
    </w:tbl>
    <w:p>
      <w:pPr>
        <w:rPr>
          <w:rFonts w:hint="default" w:ascii="Times New Roman" w:hAnsi="Times New Roman" w:eastAsia="仿宋_GB2312" w:cs="Times New Roman"/>
          <w:color w:val="auto"/>
          <w:kern w:val="0"/>
          <w:sz w:val="32"/>
          <w:szCs w:val="32"/>
        </w:rPr>
      </w:pPr>
    </w:p>
    <w:sectPr>
      <w:footerReference r:id="rId6" w:type="default"/>
      <w:pgSz w:w="11906" w:h="16838"/>
      <w:pgMar w:top="2098" w:right="1531" w:bottom="1984" w:left="1531" w:header="709" w:footer="1361"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roman"/>
    <w:pitch w:val="default"/>
    <w:sig w:usb0="E0002AFF" w:usb1="C0007841" w:usb2="00000009" w:usb3="00000000" w:csb0="400001FF" w:csb1="FFFF0000"/>
    <w:embedRegular r:id="rId1" w:fontKey="{DCE37F37-1568-42B3-B82F-6D329ABD1019}"/>
  </w:font>
  <w:font w:name="宋体">
    <w:panose1 w:val="02010600030101010101"/>
    <w:charset w:val="7A"/>
    <w:family w:val="auto"/>
    <w:pitch w:val="default"/>
    <w:sig w:usb0="00000003" w:usb1="288F0000" w:usb2="00000006" w:usb3="00000000" w:csb0="00040001" w:csb1="00000000"/>
    <w:embedRegular r:id="rId2" w:fontKey="{09CC73D5-B170-403E-9311-03E4E9277E22}"/>
  </w:font>
  <w:font w:name="Wingdings">
    <w:panose1 w:val="05000000000000000000"/>
    <w:charset w:val="02"/>
    <w:family w:val="auto"/>
    <w:pitch w:val="default"/>
    <w:sig w:usb0="00000000" w:usb1="00000000" w:usb2="00000000" w:usb3="00000000" w:csb0="80000000" w:csb1="00000000"/>
    <w:embedRegular r:id="rId3" w:fontKey="{3CCF472C-EAB1-435D-B2C5-79C097061C80}"/>
  </w:font>
  <w:font w:name="Arial">
    <w:panose1 w:val="020B0604020202020204"/>
    <w:charset w:val="01"/>
    <w:family w:val="swiss"/>
    <w:pitch w:val="default"/>
    <w:sig w:usb0="E0002AFF" w:usb1="C0007843" w:usb2="00000009" w:usb3="00000000" w:csb0="400001FF" w:csb1="FFFF0000"/>
    <w:embedRegular r:id="rId4" w:fontKey="{2ADA7DA3-F76C-44C2-8B52-C312EB963A47}"/>
  </w:font>
  <w:font w:name="黑体">
    <w:panose1 w:val="02010609060101010101"/>
    <w:charset w:val="86"/>
    <w:family w:val="auto"/>
    <w:pitch w:val="default"/>
    <w:sig w:usb0="800002BF" w:usb1="38CF7CFA" w:usb2="00000016" w:usb3="00000000" w:csb0="00040001" w:csb1="00000000"/>
    <w:embedRegular r:id="rId5" w:fontKey="{17D7962C-A399-4DE2-8CB5-F9FD3B3A741F}"/>
  </w:font>
  <w:font w:name="Courier New">
    <w:panose1 w:val="02070309020205020404"/>
    <w:charset w:val="01"/>
    <w:family w:val="modern"/>
    <w:pitch w:val="default"/>
    <w:sig w:usb0="E0002AFF" w:usb1="C0007843" w:usb2="00000009" w:usb3="00000000" w:csb0="400001FF" w:csb1="FFFF0000"/>
    <w:embedRegular r:id="rId6" w:fontKey="{5967CFB1-A705-487B-ABF9-BB666ABFA14A}"/>
  </w:font>
  <w:font w:name="Symbol">
    <w:panose1 w:val="05050102010706020507"/>
    <w:charset w:val="02"/>
    <w:family w:val="roman"/>
    <w:pitch w:val="default"/>
    <w:sig w:usb0="00000000" w:usb1="00000000" w:usb2="00000000" w:usb3="00000000" w:csb0="80000000" w:csb1="00000000"/>
    <w:embedRegular r:id="rId7" w:fontKey="{916B16D4-BBB3-43AC-B5A2-A25379A1C45B}"/>
  </w:font>
  <w:font w:name="Calibri">
    <w:panose1 w:val="020F0502020204030204"/>
    <w:charset w:val="00"/>
    <w:family w:val="swiss"/>
    <w:pitch w:val="default"/>
    <w:sig w:usb0="E00002FF" w:usb1="4000ACFF" w:usb2="00000001" w:usb3="00000000" w:csb0="2000019F" w:csb1="00000000"/>
    <w:embedRegular r:id="rId8" w:fontKey="{FA86075B-568B-43C7-AB98-5388AB89A6BE}"/>
  </w:font>
  <w:font w:name="方正仿宋_GBK">
    <w:panose1 w:val="03000509000000000000"/>
    <w:charset w:val="86"/>
    <w:family w:val="script"/>
    <w:pitch w:val="default"/>
    <w:sig w:usb0="00000001" w:usb1="080E0000" w:usb2="00000000" w:usb3="00000000" w:csb0="00040000" w:csb1="00000000"/>
    <w:embedRegular r:id="rId9" w:fontKey="{9F2C2969-0CA2-4EDD-A2FE-97DF222F99D4}"/>
  </w:font>
  <w:font w:name="方正小标宋_GBK">
    <w:panose1 w:val="03000509000000000000"/>
    <w:charset w:val="86"/>
    <w:family w:val="script"/>
    <w:pitch w:val="default"/>
    <w:sig w:usb0="00000001" w:usb1="080E0000" w:usb2="00000000" w:usb3="00000000" w:csb0="00040000" w:csb1="00000000"/>
    <w:embedRegular r:id="rId10" w:fontKey="{85F48C82-9017-479A-94C8-93010017A0F9}"/>
  </w:font>
  <w:font w:name="方正公文小标宋">
    <w:altName w:val="宋体"/>
    <w:panose1 w:val="02000500000000000000"/>
    <w:charset w:val="86"/>
    <w:family w:val="auto"/>
    <w:pitch w:val="default"/>
    <w:sig w:usb0="00000000" w:usb1="00000000" w:usb2="00000016" w:usb3="00000000" w:csb0="00040001" w:csb1="00000000"/>
    <w:embedRegular r:id="rId11" w:fontKey="{B7A5EC03-F3ED-4C94-84F7-78C18C340A57}"/>
  </w:font>
  <w:font w:name="仿宋_GB2312">
    <w:panose1 w:val="02010609030101010101"/>
    <w:charset w:val="86"/>
    <w:family w:val="modern"/>
    <w:pitch w:val="default"/>
    <w:sig w:usb0="00000001" w:usb1="080E0000" w:usb2="00000000" w:usb3="00000000" w:csb0="00040000" w:csb1="00000000"/>
    <w:embedRegular r:id="rId12" w:fontKey="{92013911-BA32-46F7-AF81-EF4C7764FD23}"/>
  </w:font>
  <w:font w:name="方正小标宋简体">
    <w:panose1 w:val="03000509000000000000"/>
    <w:charset w:val="86"/>
    <w:family w:val="script"/>
    <w:pitch w:val="default"/>
    <w:sig w:usb0="00000001" w:usb1="080E0000" w:usb2="00000000" w:usb3="00000000" w:csb0="00040000" w:csb1="00000000"/>
    <w:embedRegular r:id="rId13" w:fontKey="{24AC9651-09D3-49B1-9BBB-317A026ECDD3}"/>
  </w:font>
  <w:font w:name="方正黑体_GBK">
    <w:panose1 w:val="03000509000000000000"/>
    <w:charset w:val="86"/>
    <w:family w:val="auto"/>
    <w:pitch w:val="default"/>
    <w:sig w:usb0="00000001" w:usb1="080E0000" w:usb2="00000000" w:usb3="00000000" w:csb0="00040000" w:csb1="00000000"/>
    <w:embedRegular r:id="rId14" w:fontKey="{C9A0ABA9-3803-4E15-A9F1-D21793069E60}"/>
  </w:font>
  <w:font w:name="方正楷体_GBK">
    <w:panose1 w:val="03000509000000000000"/>
    <w:charset w:val="86"/>
    <w:family w:val="script"/>
    <w:pitch w:val="default"/>
    <w:sig w:usb0="00000001" w:usb1="080E0000" w:usb2="00000000" w:usb3="00000000" w:csb0="00040000" w:csb1="00000000"/>
    <w:embedRegular r:id="rId15" w:fontKey="{21D296BF-67DA-4CFD-8EA1-77F143FF7510}"/>
  </w:font>
  <w:font w:name="楷体_GB2312">
    <w:panose1 w:val="02010609030101010101"/>
    <w:charset w:val="86"/>
    <w:family w:val="auto"/>
    <w:pitch w:val="default"/>
    <w:sig w:usb0="00000001" w:usb1="080E0000" w:usb2="00000000" w:usb3="00000000" w:csb0="00040000" w:csb1="00000000"/>
    <w:embedRegular r:id="rId16" w:fontKey="{50AE25BD-8147-4235-B315-90C649948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insoku w:val="0"/>
      <w:overflowPunct w:val="0"/>
      <w:spacing w:before="0" w:line="14" w:lineRule="auto"/>
      <w:ind w:left="0"/>
      <w:rPr>
        <w:rFonts w:ascii="Times New Roman" w:cs="Times New Roman" w:eastAsiaTheme="minorEastAsia"/>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-123825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75pt;height:144pt;width:144pt;mso-position-horizontal:outside;mso-position-horizontal-relative:margin;mso-wrap-style:none;z-index:251659264;mso-width-relative:page;mso-height-relative:page;" filled="f" stroked="f" coordsize="21600,21600" o:gfxdata="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nG37jWAAAACAEAAA8AAAAAAAAAAQAgAAAAIgAAAGRycy9kb3ducmV2LnhtbFBL&#10;AQIUABQAAAAIAIdO4kCpqK+VMQIAAGMEAAAOAAAAAAAAAAEAIAAAACUBAABkcnMvZTJvRG9jLnht&#10;bFBLBQYAAAAABgAGAFkBAADI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insoku w:val="0"/>
      <w:overflowPunct w:val="0"/>
      <w:spacing w:before="0" w:line="14" w:lineRule="auto"/>
      <w:ind w:left="0"/>
      <w:rPr>
        <w:rFonts w:ascii="Times New Roman" w:cs="Times New Roman" w:eastAsiaTheme="minorEastAsia"/>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-123825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eastAsiaTheme="minorEastAsia"/>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75pt;height:144pt;width:144pt;mso-position-horizontal:outside;mso-position-horizontal-relative:margin;mso-wrap-style:none;z-index:251660288;mso-width-relative:page;mso-height-relative:page;" filled="f" stroked="f" coordsize="21600,21600" o:gfxdata="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nG37jWAAAACAEAAA8AAAAAAAAAAQAgAAAAIgAAAGRycy9kb3ducmV2LnhtbFBL&#10;AQIUABQAAAAIAIdO4kDrADh6MQIAAGMEAAAOAAAAAAAAAAEAIAAAACUBAABkcnMvZTJvRG9jLnht&#10;bFBLBQYAAAAABgAGAFkBAADIBQAAAAA=&#10;">
              <v:fill on="f" focussize="0,0"/>
              <v:stroke on="f" weight="0.5pt"/>
              <v:imagedata o:title=""/>
              <o:lock v:ext="edit" aspectratio="f"/>
              <v:textbox inset="0mm,0mm,0mm,0mm" style="mso-fit-shape-to-text:t;">
                <w:txbxContent>
                  <w:p>
                    <w:pPr>
                      <w:pStyle w:val="4"/>
                      <w:rPr>
                        <w:rFonts w:hint="default" w:eastAsiaTheme="minorEastAsia"/>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insoku w:val="0"/>
      <w:overflowPunct w:val="0"/>
      <w:spacing w:before="0" w:line="14" w:lineRule="auto"/>
      <w:ind w:left="0"/>
      <w:rPr>
        <w:rFonts w:ascii="Times New Roman" w:cs="Times New Roman" w:eastAsiaTheme="minorEastAsia"/>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-114300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pt;height:144pt;width:144pt;mso-position-horizontal:outside;mso-position-horizontal-relative:margin;mso-wrap-style:none;z-index:251661312;mso-width-relative:page;mso-height-relative:page;" filled="f" stroked="f" coordsize="21600,21600" o:gfxdata="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J/59QAAAAIAQAADwAAAAAAAAABACAAAAAiAAAAZHJzL2Rvd25yZXYueG1sUEsB&#10;AhQAFAAAAAgAh07iQC5WZn4yAgAAYwQAAA4AAAAAAAAAAQAgAAAAIwEAAGRycy9lMm9Eb2MueG1s&#10;UEsFBgAAAAAGAAYAWQEAAMcFA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MTA0MDk3MDU4NWI1ZDIxZWQ1NDcxNDBiZGQ4MTMifQ=="/>
  </w:docVars>
  <w:rsids>
    <w:rsidRoot w:val="20630032"/>
    <w:rsid w:val="00311934"/>
    <w:rsid w:val="00406EC2"/>
    <w:rsid w:val="00442AC0"/>
    <w:rsid w:val="0050061B"/>
    <w:rsid w:val="005D072B"/>
    <w:rsid w:val="00606DAF"/>
    <w:rsid w:val="006B5782"/>
    <w:rsid w:val="00731D34"/>
    <w:rsid w:val="007716BD"/>
    <w:rsid w:val="00843E53"/>
    <w:rsid w:val="009A6AB4"/>
    <w:rsid w:val="009C2A8E"/>
    <w:rsid w:val="00C306F0"/>
    <w:rsid w:val="00D84604"/>
    <w:rsid w:val="00D9724C"/>
    <w:rsid w:val="00E12CA9"/>
    <w:rsid w:val="00E821BB"/>
    <w:rsid w:val="00F27C3B"/>
    <w:rsid w:val="00F90AF7"/>
    <w:rsid w:val="0200793B"/>
    <w:rsid w:val="02B052AD"/>
    <w:rsid w:val="02C02DD6"/>
    <w:rsid w:val="038331DB"/>
    <w:rsid w:val="039B2E3E"/>
    <w:rsid w:val="041653E0"/>
    <w:rsid w:val="059E4341"/>
    <w:rsid w:val="05B9052D"/>
    <w:rsid w:val="06B447E1"/>
    <w:rsid w:val="06CF3ECF"/>
    <w:rsid w:val="070D35C2"/>
    <w:rsid w:val="072E47C8"/>
    <w:rsid w:val="076361F7"/>
    <w:rsid w:val="091D0DD3"/>
    <w:rsid w:val="0C5E4195"/>
    <w:rsid w:val="0D0354AF"/>
    <w:rsid w:val="0E1A1D85"/>
    <w:rsid w:val="0F536852"/>
    <w:rsid w:val="13F46080"/>
    <w:rsid w:val="15211B5E"/>
    <w:rsid w:val="16025079"/>
    <w:rsid w:val="16C86D6E"/>
    <w:rsid w:val="17D81A65"/>
    <w:rsid w:val="18B61480"/>
    <w:rsid w:val="18CD4BFC"/>
    <w:rsid w:val="18EA5F40"/>
    <w:rsid w:val="19D35B02"/>
    <w:rsid w:val="1B962D26"/>
    <w:rsid w:val="1BAF4CFD"/>
    <w:rsid w:val="1BB20CC3"/>
    <w:rsid w:val="1E095E6A"/>
    <w:rsid w:val="1E927930"/>
    <w:rsid w:val="20630032"/>
    <w:rsid w:val="234F4C67"/>
    <w:rsid w:val="23D35197"/>
    <w:rsid w:val="23D63D46"/>
    <w:rsid w:val="23FE45E7"/>
    <w:rsid w:val="25CE560C"/>
    <w:rsid w:val="26882E73"/>
    <w:rsid w:val="2939173F"/>
    <w:rsid w:val="2958590F"/>
    <w:rsid w:val="2AC52B66"/>
    <w:rsid w:val="2BF95FDB"/>
    <w:rsid w:val="2C5D2FC5"/>
    <w:rsid w:val="2DB96A6D"/>
    <w:rsid w:val="2F947CBF"/>
    <w:rsid w:val="30661219"/>
    <w:rsid w:val="30762AAF"/>
    <w:rsid w:val="30C57B2C"/>
    <w:rsid w:val="31E247E4"/>
    <w:rsid w:val="32F10879"/>
    <w:rsid w:val="33A361F5"/>
    <w:rsid w:val="346E0CD4"/>
    <w:rsid w:val="34DC46F6"/>
    <w:rsid w:val="35A434F0"/>
    <w:rsid w:val="36B855CC"/>
    <w:rsid w:val="36D3748C"/>
    <w:rsid w:val="37444E01"/>
    <w:rsid w:val="376D5CE3"/>
    <w:rsid w:val="37CE63A7"/>
    <w:rsid w:val="381217F1"/>
    <w:rsid w:val="38AD702E"/>
    <w:rsid w:val="38DA238F"/>
    <w:rsid w:val="39247306"/>
    <w:rsid w:val="3A766FB7"/>
    <w:rsid w:val="3ABB3136"/>
    <w:rsid w:val="3AEF1C52"/>
    <w:rsid w:val="3B07428D"/>
    <w:rsid w:val="3B1C4F9D"/>
    <w:rsid w:val="3CA470A5"/>
    <w:rsid w:val="3D042BB9"/>
    <w:rsid w:val="3E3E556E"/>
    <w:rsid w:val="3F7A09EB"/>
    <w:rsid w:val="41262C21"/>
    <w:rsid w:val="416E7C74"/>
    <w:rsid w:val="41C41367"/>
    <w:rsid w:val="437E3E6B"/>
    <w:rsid w:val="4579564F"/>
    <w:rsid w:val="458C4D3B"/>
    <w:rsid w:val="45D15A03"/>
    <w:rsid w:val="466B7234"/>
    <w:rsid w:val="47977678"/>
    <w:rsid w:val="47F62DD1"/>
    <w:rsid w:val="499F444B"/>
    <w:rsid w:val="4A3868ED"/>
    <w:rsid w:val="4B0746D3"/>
    <w:rsid w:val="4B3D4012"/>
    <w:rsid w:val="4DB9360A"/>
    <w:rsid w:val="4F6A536D"/>
    <w:rsid w:val="510A5C69"/>
    <w:rsid w:val="522E2434"/>
    <w:rsid w:val="55E55DA1"/>
    <w:rsid w:val="56586B46"/>
    <w:rsid w:val="576972F6"/>
    <w:rsid w:val="58F3041A"/>
    <w:rsid w:val="5B0361D2"/>
    <w:rsid w:val="5C2D7142"/>
    <w:rsid w:val="5D77548C"/>
    <w:rsid w:val="5D812E10"/>
    <w:rsid w:val="606F2E37"/>
    <w:rsid w:val="632E0CAC"/>
    <w:rsid w:val="63FB725D"/>
    <w:rsid w:val="67734FB4"/>
    <w:rsid w:val="68036093"/>
    <w:rsid w:val="694724E2"/>
    <w:rsid w:val="69D731FB"/>
    <w:rsid w:val="6A74777B"/>
    <w:rsid w:val="6A752CE5"/>
    <w:rsid w:val="6AD939E9"/>
    <w:rsid w:val="6B812AF7"/>
    <w:rsid w:val="6BDB7CAE"/>
    <w:rsid w:val="6FC8619B"/>
    <w:rsid w:val="71E77B85"/>
    <w:rsid w:val="71FC24A4"/>
    <w:rsid w:val="74701B7D"/>
    <w:rsid w:val="747946BB"/>
    <w:rsid w:val="76892850"/>
    <w:rsid w:val="774D1CF0"/>
    <w:rsid w:val="77D34E85"/>
    <w:rsid w:val="7AB64BEB"/>
    <w:rsid w:val="7C7D1420"/>
    <w:rsid w:val="7CE22134"/>
    <w:rsid w:val="7CF37BCE"/>
    <w:rsid w:val="7D172435"/>
    <w:rsid w:val="7FDE72C6"/>
    <w:rsid w:val="7FF33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rPr>
      <w:rFonts w:ascii="方正仿宋_GBK" w:eastAsia="方正仿宋_GBK"/>
      <w:sz w:val="32"/>
      <w:szCs w:val="32"/>
    </w:rPr>
  </w:style>
  <w:style w:type="paragraph" w:styleId="3">
    <w:name w:val="Body Text"/>
    <w:basedOn w:val="1"/>
    <w:qFormat/>
    <w:uiPriority w:val="1"/>
    <w:pPr>
      <w:autoSpaceDE w:val="0"/>
      <w:autoSpaceDN w:val="0"/>
      <w:adjustRightInd w:val="0"/>
      <w:spacing w:before="87"/>
      <w:ind w:left="111"/>
      <w:jc w:val="left"/>
    </w:pPr>
    <w:rPr>
      <w:rFonts w:ascii="方正仿宋_GBK" w:hAnsi="Times New Roman" w:eastAsia="方正仿宋_GBK" w:cs="方正仿宋_GBK"/>
      <w:kern w:val="0"/>
      <w:sz w:val="32"/>
      <w:szCs w:val="32"/>
    </w:rPr>
  </w:style>
  <w:style w:type="paragraph" w:styleId="4">
    <w:name w:val="footer"/>
    <w:basedOn w:val="1"/>
    <w:semiHidden/>
    <w:unhideWhenUsed/>
    <w:qFormat/>
    <w:uiPriority w:val="99"/>
    <w:pPr>
      <w:tabs>
        <w:tab w:val="center" w:pos="4153"/>
        <w:tab w:val="right" w:pos="8306"/>
      </w:tabs>
    </w:pPr>
    <w:rPr>
      <w:sz w:val="18"/>
      <w:szCs w:val="18"/>
    </w:rPr>
  </w:style>
  <w:style w:type="paragraph" w:styleId="5">
    <w:name w:val="header"/>
    <w:basedOn w:val="1"/>
    <w:semiHidden/>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FollowedHyperlink"/>
    <w:basedOn w:val="9"/>
    <w:qFormat/>
    <w:uiPriority w:val="0"/>
    <w:rPr>
      <w:color w:val="333333"/>
      <w:u w:val="none"/>
    </w:rPr>
  </w:style>
  <w:style w:type="character" w:styleId="12">
    <w:name w:val="Emphasis"/>
    <w:basedOn w:val="9"/>
    <w:qFormat/>
    <w:uiPriority w:val="0"/>
  </w:style>
  <w:style w:type="character" w:styleId="13">
    <w:name w:val="HTML Acronym"/>
    <w:basedOn w:val="9"/>
    <w:qFormat/>
    <w:uiPriority w:val="0"/>
  </w:style>
  <w:style w:type="character" w:styleId="14">
    <w:name w:val="Hyperlink"/>
    <w:basedOn w:val="9"/>
    <w:qFormat/>
    <w:uiPriority w:val="0"/>
    <w:rPr>
      <w:color w:val="333333"/>
      <w:u w:val="none"/>
    </w:rPr>
  </w:style>
  <w:style w:type="paragraph" w:customStyle="1" w:styleId="15">
    <w:name w:val="Heading 1"/>
    <w:basedOn w:val="1"/>
    <w:qFormat/>
    <w:uiPriority w:val="1"/>
    <w:pPr>
      <w:autoSpaceDE w:val="0"/>
      <w:autoSpaceDN w:val="0"/>
      <w:adjustRightInd w:val="0"/>
      <w:jc w:val="left"/>
      <w:outlineLvl w:val="0"/>
    </w:pPr>
    <w:rPr>
      <w:rFonts w:ascii="方正小标宋_GBK" w:hAnsi="Times New Roman" w:eastAsia="方正小标宋_GBK" w:cs="方正小标宋_GBK"/>
      <w:kern w:val="0"/>
      <w:sz w:val="44"/>
      <w:szCs w:val="44"/>
    </w:rPr>
  </w:style>
  <w:style w:type="paragraph" w:customStyle="1" w:styleId="16">
    <w:name w:val="Table Paragraph"/>
    <w:basedOn w:val="1"/>
    <w:qFormat/>
    <w:uiPriority w:val="1"/>
    <w:pPr>
      <w:autoSpaceDE w:val="0"/>
      <w:autoSpaceDN w:val="0"/>
      <w:adjustRightInd w:val="0"/>
      <w:jc w:val="left"/>
    </w:pPr>
    <w:rPr>
      <w:rFonts w:ascii="Times New Roman" w:hAnsi="Times New Roman" w:cs="Times New Roman"/>
      <w:kern w:val="0"/>
      <w:sz w:val="24"/>
    </w:rPr>
  </w:style>
  <w:style w:type="character" w:customStyle="1" w:styleId="17">
    <w:name w:val="s7"/>
    <w:basedOn w:val="9"/>
    <w:qFormat/>
    <w:uiPriority w:val="0"/>
  </w:style>
  <w:style w:type="character" w:customStyle="1" w:styleId="18">
    <w:name w:val="s10"/>
    <w:basedOn w:val="9"/>
    <w:qFormat/>
    <w:uiPriority w:val="0"/>
  </w:style>
  <w:style w:type="character" w:customStyle="1" w:styleId="19">
    <w:name w:val="s11"/>
    <w:basedOn w:val="9"/>
    <w:qFormat/>
    <w:uiPriority w:val="0"/>
  </w:style>
  <w:style w:type="character" w:customStyle="1" w:styleId="20">
    <w:name w:val="s9"/>
    <w:basedOn w:val="9"/>
    <w:qFormat/>
    <w:uiPriority w:val="0"/>
  </w:style>
  <w:style w:type="character" w:customStyle="1" w:styleId="21">
    <w:name w:val="s4"/>
    <w:basedOn w:val="9"/>
    <w:qFormat/>
    <w:uiPriority w:val="0"/>
  </w:style>
  <w:style w:type="character" w:customStyle="1" w:styleId="22">
    <w:name w:val="s12"/>
    <w:basedOn w:val="9"/>
    <w:qFormat/>
    <w:uiPriority w:val="0"/>
  </w:style>
  <w:style w:type="character" w:customStyle="1" w:styleId="23">
    <w:name w:val="s1"/>
    <w:basedOn w:val="9"/>
    <w:qFormat/>
    <w:uiPriority w:val="0"/>
  </w:style>
  <w:style w:type="character" w:customStyle="1" w:styleId="24">
    <w:name w:val="s3"/>
    <w:basedOn w:val="9"/>
    <w:qFormat/>
    <w:uiPriority w:val="0"/>
  </w:style>
  <w:style w:type="character" w:customStyle="1" w:styleId="25">
    <w:name w:val="s2"/>
    <w:basedOn w:val="9"/>
    <w:qFormat/>
    <w:uiPriority w:val="0"/>
  </w:style>
  <w:style w:type="character" w:customStyle="1" w:styleId="26">
    <w:name w:val="s5"/>
    <w:basedOn w:val="9"/>
    <w:qFormat/>
    <w:uiPriority w:val="0"/>
  </w:style>
  <w:style w:type="character" w:customStyle="1" w:styleId="27">
    <w:name w:val="s6"/>
    <w:basedOn w:val="9"/>
    <w:qFormat/>
    <w:uiPriority w:val="0"/>
  </w:style>
  <w:style w:type="character" w:customStyle="1" w:styleId="28">
    <w:name w:val="s8"/>
    <w:basedOn w:val="9"/>
    <w:qFormat/>
    <w:uiPriority w:val="0"/>
  </w:style>
  <w:style w:type="character" w:customStyle="1" w:styleId="29">
    <w:name w:val="fontborder"/>
    <w:basedOn w:val="9"/>
    <w:qFormat/>
    <w:uiPriority w:val="0"/>
    <w:rPr>
      <w:bdr w:val="single" w:color="000000" w:sz="6" w:space="0"/>
    </w:rPr>
  </w:style>
  <w:style w:type="character" w:customStyle="1" w:styleId="30">
    <w:name w:val="fontstrikethrough"/>
    <w:basedOn w:val="9"/>
    <w:qFormat/>
    <w:uiPriority w:val="0"/>
    <w:rPr>
      <w:strike/>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11766</Words>
  <Characters>12088</Characters>
  <Lines>84</Lines>
  <Paragraphs>23</Paragraphs>
  <TotalTime>0</TotalTime>
  <ScaleCrop>false</ScaleCrop>
  <LinksUpToDate>false</LinksUpToDate>
  <CharactersWithSpaces>12156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2022-03-07T05:50:00Z</dcterms:created>
  <dc:creator>家有yo姐</dc:creator>
  <cp:lastModifiedBy>Administrator</cp:lastModifiedBy>
  <cp:lastPrinted>2022-07-08T03:49:00Z</cp:lastPrinted>
  <dcterms:modified xsi:type="dcterms:W3CDTF">2022-10-24T04:07:45Z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0900E40408F74C3EA8F0A7379DB5DF1B</vt:lpwstr>
  </property>
</Properties>
</file>