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常州市个人诚信积分“龙城分”细则（试行）</w:t>
      </w:r>
    </w:p>
    <w:p>
      <w:pPr>
        <w:spacing w:line="57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（征求意见稿）</w:t>
      </w:r>
    </w:p>
    <w:bookmarkEnd w:id="0"/>
    <w:p>
      <w:pPr>
        <w:spacing w:line="570" w:lineRule="exact"/>
        <w:ind w:firstLine="420" w:firstLineChars="200"/>
        <w:rPr>
          <w:rFonts w:ascii="Times New Roman" w:hAnsi="Times New Roman" w:eastAsia="方正仿宋_GBK" w:cs="Times New Roman"/>
          <w:szCs w:val="32"/>
        </w:rPr>
      </w:pP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为加强个人诚信体系建设，褒扬诚信，惩戒失信，提高全社会信用水平，营造优良信用环境，根据《国务院办公厅关于加强个人诚信体系建设的指导意见》《江苏省社会信用条例》《常州市文明行为促进条例》等有关规定，按照《常州市个人诚信分管理办法（试行）》中对个人诚信分计分规则，进一步健全完善我市个人诚信分“龙城分”管理制度，规范个人诚信分的运行和应用，充分发挥个人诚信分褒扬和激励诚信的作用，编制本细则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一、个人诚信分定义和内涵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（一）名称：常州市个人诚信分（龙城分）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（二）定义：是指常州市公共信用信息服务平台、大数据管理平台归集的个人公共信用信息为基础，以个人自主申报的其他信用信息为补充，按照统一标准规范，测算形成的反映个人信用状况的分数。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（三）赋分范围：本市行政区域内18周岁及以上具有完全民事行为能力的户籍人员和常住非户籍人员。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运行：自然人经实名认证后，可以通过“我的常州APP”、“信用常州”网站授权市公共信用信息中心采集本人信用信息。自然人通过“我的常州APP”、“信用常州”网站免费自主查询本人诚信分及相关事项。个人可自主选择是否激活“龙城分”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二、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龙城分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设计原则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龙城分”的建设、管理、应用以及相关公共信用信息的处理活动遵循依法依规、客观公正、安全适度、标准统一、科学建模、动态管理的原则，按照规定的内容、标准、方法和程序进行。分值设计按照“正向激励、信用普惠，科学区分、减少失真，信息脱敏、数据支撑，配比灵活、操作便捷”的原则，坚持激励导向、互动提升、广泛参与的设计理念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“龙城分”计算原则：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（一）采用正向加分和负向减分双向赋分；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各计分项实行一行为一计分，不重复加减分的原则，体现正向激励。对个人荣誉表彰信息、信用承诺、公益志愿服务、行政奖励等信用良好信息实施加分。对个人行政处罚、行政强制、欠缴费、其他失信行为等信用不良信息实施减分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（三）因同一失信行为被两个及以上部门纳入失信信息扣分的，按最高扣分项扣分；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（四）同一行为加分项目按最高加分项计分。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三、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龙城分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构成内容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“龙城分”由信用基础分和信用积分组成。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（一）信用基础分：由市公共信用信息服务平台依托个人公共信用信息，按照评分规则和模型自动评价赋分。包括：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仿宋_GB2312" w:eastAsia="仿宋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基本信息：姓名、身份证号码、职业信息、其他基本信息。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Times New Roman" w:hAnsi="仿宋_GB2312" w:eastAsia="仿宋_GB2312"/>
          <w:sz w:val="32"/>
          <w:szCs w:val="32"/>
        </w:rPr>
        <w:t>．</w:t>
      </w:r>
      <w:r>
        <w:rPr>
          <w:rFonts w:ascii="Times New Roman" w:hAnsi="Times New Roman" w:eastAsia="仿宋_GB2312" w:cs="Times New Roman"/>
          <w:sz w:val="32"/>
          <w:szCs w:val="32"/>
        </w:rPr>
        <w:t>信用信息：司法裁判及执行信息；行政许可、行政处罚、行政强制等信息；职称和职业资格信息；严重失信主体名单信息；有关合同履行信息；信用承诺及其履行情况信息；诚实守信相关荣誉信息；个人自愿提供的信用信息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（二）信用积分：基于自然人维信、用信、增信等行为通过积分管理平台赋分。来源包括但不限于：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1．个人自愿申报的教育学历信息、资质证书信息、其他荣誉表彰信息、身份信息、从业信息和其他信用档案信息；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2．参加社会公益的信息；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3．行业或部门对行业从业人员或特定行为人的认定信息；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4．信用承诺信息、信用修复信息；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5．个人在“信易+”场景应用中产生的信用信息；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6．个人在使用诚信分过程中积累的信用信息；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7．个人在商务交易、合同履约、金融信贷、合资合作等社会活动中产生的信用信息；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8．其他信用信息。</w:t>
      </w:r>
    </w:p>
    <w:p>
      <w:pPr>
        <w:spacing w:line="57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四、</w:t>
      </w:r>
      <w:r>
        <w:rPr>
          <w:rFonts w:ascii="Times New Roman" w:hAnsi="Times New Roman" w:eastAsia="黑体" w:cs="Times New Roman"/>
          <w:sz w:val="32"/>
          <w:szCs w:val="32"/>
        </w:rPr>
        <w:t>“</w:t>
      </w:r>
      <w:r>
        <w:rPr>
          <w:rFonts w:ascii="Times New Roman" w:hAnsi="黑体" w:eastAsia="黑体" w:cs="Times New Roman"/>
          <w:sz w:val="32"/>
          <w:szCs w:val="32"/>
        </w:rPr>
        <w:t>龙城分</w:t>
      </w:r>
      <w:r>
        <w:rPr>
          <w:rFonts w:ascii="Times New Roman" w:hAnsi="Times New Roman" w:eastAsia="黑体" w:cs="Times New Roman"/>
          <w:sz w:val="32"/>
          <w:szCs w:val="32"/>
        </w:rPr>
        <w:t>”</w:t>
      </w:r>
      <w:r>
        <w:rPr>
          <w:rFonts w:ascii="Times New Roman" w:hAnsi="黑体" w:eastAsia="黑体" w:cs="Times New Roman"/>
          <w:sz w:val="32"/>
          <w:szCs w:val="32"/>
        </w:rPr>
        <w:t>框架目录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（一）分级分类。采用积分制，总分1000分。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按得分从高到低设为三个区间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统称“常信码”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“常信码”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分值在800—1000分的为“优秀”赋“蓝码”；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“常信码”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分值在650—799分的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“良好”赋“绿码”；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“常信码”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分值在650分以下的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为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“待提升”赋“黄码”。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对失信被执行人、重大违法行为当事人等涉及严重失信行为的个人，诚信分直接降至650分以下。在严重失信行为使用有效期限内的，不改变信用积分；严重失信行为</w:t>
      </w:r>
      <w:r>
        <w:rPr>
          <w:rFonts w:ascii="Times New Roman" w:hAnsi="Times New Roman" w:eastAsia="仿宋_GB2312" w:cs="Times New Roman"/>
          <w:sz w:val="32"/>
          <w:szCs w:val="32"/>
        </w:rPr>
        <w:t>依法依规改正或修复的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，按实际情况提升信用积分。</w:t>
      </w:r>
    </w:p>
    <w:p>
      <w:pPr>
        <w:spacing w:line="57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（二）</w:t>
      </w:r>
      <w:r>
        <w:rPr>
          <w:rFonts w:ascii="Times New Roman" w:hAnsi="Times New Roman" w:eastAsia="仿宋_GB2312" w:cs="Times New Roman"/>
          <w:sz w:val="32"/>
          <w:szCs w:val="32"/>
        </w:rPr>
        <w:t>维度占比。“龙城分”由身份特质、遵纪守法、履约践诺、社会责任、增信用信五大维度构成。</w:t>
      </w:r>
    </w:p>
    <w:tbl>
      <w:tblPr>
        <w:tblStyle w:val="2"/>
        <w:tblW w:w="9209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1984"/>
        <w:gridCol w:w="1985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tblHeader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指标维度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指标一级目录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指标二级目录</w:t>
            </w:r>
          </w:p>
        </w:tc>
        <w:tc>
          <w:tcPr>
            <w:tcW w:w="31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4"/>
              </w:rPr>
              <w:t>指标释义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身份特质（200分）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主要反映个人在社会秩序与结构中的特点标志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遵纪守法（360分）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良好信息/不良信息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良好信息/不良信息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主要反映市民履行应尽义务、遵守公序良俗的情况，包含良好信息及不良信息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履约践诺（80分）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履约信息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履约信息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主要反映市民及时、按期、足额的缴纳公共费用的表现，以及是否遵守其做出的信用承诺。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社会责任（120分）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社会公益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公益记录</w:t>
            </w:r>
          </w:p>
        </w:tc>
        <w:tc>
          <w:tcPr>
            <w:tcW w:w="3118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主要反映市民关心他人、回报社会的公益行为，体现公民的社会责任感和守信意愿。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增信用信（240分）</w:t>
            </w: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行为增信</w:t>
            </w: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商务信用</w:t>
            </w:r>
          </w:p>
        </w:tc>
        <w:tc>
          <w:tcPr>
            <w:tcW w:w="31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主要反映市民在各项社会公共服务及社会活动中的增信用信行为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信用活跃度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场景用信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</w:rPr>
              <w:t>个人维信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信用承诺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1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自主申报</w:t>
            </w:r>
          </w:p>
        </w:tc>
        <w:tc>
          <w:tcPr>
            <w:tcW w:w="31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NGY1Y2JhY2NlNTNkN2U2YTg4ZjMwZDMyMDVhY2QifQ=="/>
  </w:docVars>
  <w:rsids>
    <w:rsidRoot w:val="3D172805"/>
    <w:rsid w:val="3D1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1863</Words>
  <Characters>1900</Characters>
  <Lines>0</Lines>
  <Paragraphs>0</Paragraphs>
  <TotalTime>0</TotalTime>
  <ScaleCrop>false</ScaleCrop>
  <LinksUpToDate>false</LinksUpToDate>
  <CharactersWithSpaces>1900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2022-05-25T06:31:00Z</dcterms:created>
  <dc:creator>西柳塘塘花</dc:creator>
  <cp:lastModifiedBy>西柳塘塘花</cp:lastModifiedBy>
  <dcterms:modified xsi:type="dcterms:W3CDTF">2022-05-25T06:32:33Z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7084342E12FF4E3EA519FF0C04B92309</vt:lpwstr>
  </property>
</Properties>
</file>