
<file path=[Content_Types].xml><?xml version="1.0" encoding="utf-8"?>
<Types xmlns="http://schemas.openxmlformats.org/package/2006/content-types">
  <Default Extension="xml" ContentType="application/xml"/>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600" w:lineRule="exact"/>
        <w:ind w:left="0" w:leftChars="0" w:firstLine="880"/>
        <w:jc w:val="center"/>
        <w:textAlignment w:val="auto"/>
        <w:outlineLvl w:val="9"/>
        <w:rPr>
          <w:rFonts w:hint="default" w:ascii="Times New Roman" w:hAnsi="Times New Roman" w:eastAsia="方正公文小标宋" w:cs="Times New Roman"/>
          <w:color w:val="000000" w:themeColor="text1"/>
          <w:sz w:val="44"/>
          <w:szCs w:val="44"/>
          <w14:textFill>
            <w14:solidFill>
              <w14:schemeClr w14:val="tx1"/>
            </w14:solidFill>
          </w14:textFill>
        </w:rPr>
      </w:pPr>
      <w:bookmarkStart w:id="99" w:name="_GoBack"/>
      <w:bookmarkEnd w:id="99"/>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textAlignment w:val="auto"/>
        <w:outlineLvl w:val="9"/>
        <w:rPr>
          <w:rFonts w:hint="default" w:ascii="Times New Roman" w:hAnsi="Times New Roman" w:eastAsia="方正公文小标宋" w:cs="Times New Roman"/>
          <w:color w:val="000000" w:themeColor="text1"/>
          <w:sz w:val="44"/>
          <w:szCs w:val="4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600" w:lineRule="exact"/>
        <w:ind w:left="0" w:leftChars="0"/>
        <w:textAlignment w:val="auto"/>
        <w:outlineLvl w:val="9"/>
        <w:rPr>
          <w:rFonts w:hint="default" w:ascii="Times New Roman" w:hAnsi="Times New Roman" w:eastAsia="方正公文小标宋" w:cs="Times New Roman"/>
          <w:color w:val="000000" w:themeColor="text1"/>
          <w:sz w:val="44"/>
          <w:szCs w:val="44"/>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textAlignment w:val="auto"/>
        <w:outlineLvl w:val="9"/>
        <w:rPr>
          <w:rFonts w:hint="default" w:ascii="Times New Roman" w:hAnsi="Times New Roman" w:eastAsia="方正公文小标宋" w:cs="Times New Roman"/>
          <w:color w:val="000000" w:themeColor="text1"/>
          <w:sz w:val="44"/>
          <w:szCs w:val="4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textAlignment w:val="auto"/>
        <w:outlineLvl w:val="9"/>
        <w:rPr>
          <w:rFonts w:hint="default" w:ascii="Times New Roman" w:hAnsi="Times New Roman" w:eastAsia="方正公文小标宋" w:cs="Times New Roman"/>
          <w:color w:val="000000" w:themeColor="text1"/>
          <w:sz w:val="44"/>
          <w:szCs w:val="4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textAlignment w:val="auto"/>
        <w:outlineLvl w:val="9"/>
        <w:rPr>
          <w:rFonts w:hint="default" w:ascii="Times New Roman" w:hAnsi="Times New Roman" w:eastAsia="方正公文小标宋" w:cs="Times New Roman"/>
          <w:color w:val="000000" w:themeColor="text1"/>
          <w:sz w:val="44"/>
          <w:szCs w:val="4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textAlignment w:val="auto"/>
        <w:outlineLvl w:val="9"/>
        <w:rPr>
          <w:rFonts w:hint="default" w:ascii="Times New Roman" w:hAnsi="Times New Roman" w:eastAsia="方正公文小标宋" w:cs="Times New Roman"/>
          <w:color w:val="000000" w:themeColor="text1"/>
          <w:sz w:val="44"/>
          <w:szCs w:val="44"/>
          <w14:textFill>
            <w14:solidFill>
              <w14:schemeClr w14:val="tx1"/>
            </w14:solidFill>
          </w14:textFill>
        </w:rPr>
      </w:pPr>
    </w:p>
    <w:p>
      <w:pPr>
        <w:keepNext w:val="0"/>
        <w:keepLines w:val="0"/>
        <w:pageBreakBefore w:val="0"/>
        <w:widowControl w:val="0"/>
        <w:kinsoku/>
        <w:wordWrap/>
        <w:overflowPunct/>
        <w:topLinePunct w:val="0"/>
        <w:autoSpaceDE/>
        <w:autoSpaceDN w:val="0"/>
        <w:bidi w:val="0"/>
        <w:adjustRightInd/>
        <w:snapToGrid w:val="0"/>
        <w:spacing w:line="570" w:lineRule="exact"/>
        <w:ind w:firstLine="0" w:firstLineChars="0"/>
        <w:jc w:val="center"/>
        <w:textAlignment w:val="auto"/>
        <w:outlineLvl w:val="9"/>
        <w:rPr>
          <w:rFonts w:hint="default" w:ascii="Times New Roman" w:hAnsi="Times New Roman" w:eastAsia="方正仿宋_GBK" w:cs="Times New Roman"/>
          <w:bCs/>
          <w:color w:val="000000"/>
          <w:sz w:val="32"/>
          <w:szCs w:val="32"/>
        </w:rPr>
      </w:pPr>
      <w:r>
        <w:rPr>
          <w:rFonts w:hint="eastAsia" w:ascii="方正仿宋_GBK" w:hAnsi="方正仿宋_GBK" w:eastAsia="方正仿宋_GBK" w:cs="方正仿宋_GBK"/>
          <w:color w:val="000000"/>
          <w:kern w:val="0"/>
          <w:sz w:val="32"/>
          <w:szCs w:val="32"/>
          <w:lang w:val="en-US" w:eastAsia="zh-CN" w:bidi="ar"/>
        </w:rPr>
        <w:t>常天政办</w:t>
      </w:r>
      <w:r>
        <w:rPr>
          <w:rFonts w:hint="default" w:ascii="Times New Roman" w:hAnsi="Times New Roman" w:eastAsia="方正仿宋_GBK" w:cs="Times New Roman"/>
          <w:color w:val="000000"/>
          <w:kern w:val="0"/>
          <w:sz w:val="32"/>
          <w:szCs w:val="32"/>
        </w:rPr>
        <w:t>〔20</w:t>
      </w:r>
      <w:r>
        <w:rPr>
          <w:rFonts w:hint="default" w:ascii="Times New Roman" w:hAnsi="Times New Roman" w:eastAsia="方正仿宋_GBK" w:cs="Times New Roman"/>
          <w:color w:val="000000"/>
          <w:kern w:val="0"/>
          <w:sz w:val="32"/>
          <w:szCs w:val="32"/>
          <w:lang w:val="en-US" w:eastAsia="zh-CN"/>
        </w:rPr>
        <w:t>2</w:t>
      </w:r>
      <w:r>
        <w:rPr>
          <w:rFonts w:hint="default" w:ascii="Times New Roman" w:hAnsi="Times New Roman" w:cs="Times New Roman"/>
          <w:color w:val="000000"/>
          <w:kern w:val="0"/>
          <w:sz w:val="32"/>
          <w:szCs w:val="32"/>
          <w:lang w:val="en-US" w:eastAsia="zh-CN"/>
        </w:rPr>
        <w:t>2</w:t>
      </w:r>
      <w:r>
        <w:rPr>
          <w:rFonts w:hint="default" w:ascii="Times New Roman" w:hAnsi="Times New Roman" w:eastAsia="方正仿宋_GBK" w:cs="Times New Roman"/>
          <w:color w:val="000000"/>
          <w:kern w:val="0"/>
          <w:sz w:val="32"/>
          <w:szCs w:val="32"/>
        </w:rPr>
        <w:t>〕</w:t>
      </w:r>
      <w:r>
        <w:rPr>
          <w:rFonts w:hint="eastAsia" w:cs="Times New Roman"/>
          <w:color w:val="000000"/>
          <w:kern w:val="0"/>
          <w:sz w:val="32"/>
          <w:szCs w:val="32"/>
          <w:lang w:val="en-US" w:eastAsia="zh-CN"/>
        </w:rPr>
        <w:t>3</w:t>
      </w:r>
      <w:r>
        <w:rPr>
          <w:rFonts w:hint="default" w:ascii="Times New Roman" w:hAnsi="Times New Roman" w:eastAsia="方正仿宋_GBK" w:cs="Times New Roman"/>
          <w:color w:val="000000"/>
          <w:kern w:val="0"/>
          <w:sz w:val="32"/>
          <w:szCs w:val="32"/>
        </w:rPr>
        <w:t>号</w:t>
      </w:r>
    </w:p>
    <w:p>
      <w:pPr>
        <w:pStyle w:val="2"/>
        <w:keepNext w:val="0"/>
        <w:keepLines w:val="0"/>
        <w:pageBreakBefore w:val="0"/>
        <w:widowControl w:val="0"/>
        <w:kinsoku/>
        <w:wordWrap/>
        <w:overflowPunct/>
        <w:topLinePunct w:val="0"/>
        <w:autoSpaceDE/>
        <w:bidi w:val="0"/>
        <w:adjustRightInd/>
        <w:spacing w:line="570" w:lineRule="exact"/>
        <w:textAlignment w:val="auto"/>
        <w:outlineLvl w:val="9"/>
        <w:rPr>
          <w:rFonts w:hint="default"/>
        </w:rPr>
      </w:pPr>
    </w:p>
    <w:p>
      <w:pPr>
        <w:keepNext w:val="0"/>
        <w:keepLines w:val="0"/>
        <w:pageBreakBefore w:val="0"/>
        <w:widowControl w:val="0"/>
        <w:kinsoku/>
        <w:wordWrap/>
        <w:overflowPunct/>
        <w:topLinePunct w:val="0"/>
        <w:autoSpaceDE/>
        <w:bidi w:val="0"/>
        <w:adjustRightInd/>
        <w:spacing w:line="570" w:lineRule="exact"/>
        <w:textAlignment w:val="auto"/>
        <w:rPr>
          <w:rFonts w:hint="default"/>
        </w:rPr>
      </w:pPr>
    </w:p>
    <w:p>
      <w:pPr>
        <w:keepNext w:val="0"/>
        <w:keepLines w:val="0"/>
        <w:pageBreakBefore w:val="0"/>
        <w:widowControl w:val="0"/>
        <w:kinsoku/>
        <w:wordWrap/>
        <w:overflowPunct/>
        <w:topLinePunct w:val="0"/>
        <w:autoSpaceDE/>
        <w:autoSpaceDN/>
        <w:bidi w:val="0"/>
        <w:adjustRightInd w:val="0"/>
        <w:snapToGrid w:val="0"/>
        <w:spacing w:line="700" w:lineRule="exact"/>
        <w:jc w:val="center"/>
        <w:textAlignment w:val="auto"/>
        <w:rPr>
          <w:rFonts w:hint="default" w:ascii="Times New Roman" w:hAnsi="Times New Roman" w:eastAsia="方正小标宋_GBK" w:cs="Times New Roman"/>
          <w:bCs/>
          <w:color w:val="auto"/>
          <w:sz w:val="44"/>
          <w:szCs w:val="44"/>
        </w:rPr>
      </w:pPr>
      <w:r>
        <w:rPr>
          <w:rFonts w:hint="default" w:ascii="Times New Roman" w:hAnsi="Times New Roman" w:eastAsia="方正小标宋_GBK" w:cs="Times New Roman"/>
          <w:bCs/>
          <w:color w:val="auto"/>
          <w:sz w:val="44"/>
          <w:szCs w:val="44"/>
        </w:rPr>
        <w:t>区政府办公室关于印发《常州市天宁区</w:t>
      </w:r>
    </w:p>
    <w:p>
      <w:pPr>
        <w:keepNext w:val="0"/>
        <w:keepLines w:val="0"/>
        <w:pageBreakBefore w:val="0"/>
        <w:widowControl w:val="0"/>
        <w:kinsoku/>
        <w:wordWrap/>
        <w:overflowPunct/>
        <w:topLinePunct w:val="0"/>
        <w:autoSpaceDE/>
        <w:autoSpaceDN/>
        <w:bidi w:val="0"/>
        <w:adjustRightInd w:val="0"/>
        <w:snapToGrid w:val="0"/>
        <w:spacing w:line="700" w:lineRule="exact"/>
        <w:jc w:val="center"/>
        <w:textAlignment w:val="auto"/>
        <w:rPr>
          <w:rFonts w:hint="default" w:ascii="Times New Roman" w:hAnsi="Times New Roman" w:eastAsia="方正小标宋_GBK" w:cs="Times New Roman"/>
          <w:bCs/>
          <w:color w:val="auto"/>
          <w:sz w:val="44"/>
          <w:szCs w:val="44"/>
        </w:rPr>
      </w:pPr>
      <w:r>
        <w:rPr>
          <w:rFonts w:hint="default" w:ascii="Times New Roman" w:hAnsi="Times New Roman" w:eastAsia="方正小标宋_GBK" w:cs="Times New Roman"/>
          <w:bCs/>
          <w:color w:val="auto"/>
          <w:sz w:val="44"/>
          <w:szCs w:val="44"/>
        </w:rPr>
        <w:t>辐射事故应急预案》的通知</w:t>
      </w:r>
    </w:p>
    <w:p>
      <w:pPr>
        <w:keepNext w:val="0"/>
        <w:keepLines w:val="0"/>
        <w:pageBreakBefore w:val="0"/>
        <w:widowControl w:val="0"/>
        <w:kinsoku/>
        <w:wordWrap/>
        <w:overflowPunct/>
        <w:topLinePunct w:val="0"/>
        <w:autoSpaceDE/>
        <w:autoSpaceDN/>
        <w:bidi w:val="0"/>
        <w:adjustRightInd w:val="0"/>
        <w:snapToGrid w:val="0"/>
        <w:spacing w:line="570" w:lineRule="exact"/>
        <w:jc w:val="left"/>
        <w:textAlignment w:val="auto"/>
        <w:rPr>
          <w:rFonts w:hint="default" w:ascii="Times New Roman" w:hAnsi="Times New Roman" w:eastAsia="方正仿宋_GBK" w:cs="Times New Roman"/>
          <w:bCs/>
          <w:color w:val="auto"/>
          <w:sz w:val="32"/>
          <w:szCs w:val="32"/>
        </w:rPr>
      </w:pPr>
    </w:p>
    <w:p>
      <w:pPr>
        <w:keepNext w:val="0"/>
        <w:keepLines w:val="0"/>
        <w:pageBreakBefore w:val="0"/>
        <w:widowControl w:val="0"/>
        <w:kinsoku/>
        <w:wordWrap/>
        <w:overflowPunct/>
        <w:topLinePunct w:val="0"/>
        <w:autoSpaceDE/>
        <w:autoSpaceDN/>
        <w:bidi w:val="0"/>
        <w:adjustRightInd w:val="0"/>
        <w:snapToGrid w:val="0"/>
        <w:spacing w:line="570" w:lineRule="exact"/>
        <w:jc w:val="left"/>
        <w:textAlignment w:val="auto"/>
        <w:rPr>
          <w:rFonts w:hint="default" w:ascii="Times New Roman" w:hAnsi="Times New Roman" w:eastAsia="方正仿宋_GBK" w:cs="Times New Roman"/>
          <w:bCs/>
          <w:color w:val="auto"/>
          <w:sz w:val="32"/>
          <w:szCs w:val="32"/>
        </w:rPr>
      </w:pPr>
      <w:r>
        <w:rPr>
          <w:rFonts w:hint="default" w:ascii="Times New Roman" w:hAnsi="Times New Roman" w:eastAsia="方正仿宋_GBK" w:cs="Times New Roman"/>
          <w:bCs/>
          <w:color w:val="auto"/>
          <w:sz w:val="32"/>
          <w:szCs w:val="32"/>
        </w:rPr>
        <w:t>开发区管委会、镇政府、各街道办事处，区各</w:t>
      </w:r>
      <w:r>
        <w:rPr>
          <w:rFonts w:hint="eastAsia" w:ascii="Times New Roman" w:hAnsi="Times New Roman" w:eastAsia="方正仿宋_GBK" w:cs="Times New Roman"/>
          <w:bCs/>
          <w:color w:val="auto"/>
          <w:sz w:val="32"/>
          <w:szCs w:val="32"/>
        </w:rPr>
        <w:t>有关</w:t>
      </w:r>
      <w:r>
        <w:rPr>
          <w:rFonts w:hint="default" w:ascii="Times New Roman" w:hAnsi="Times New Roman" w:eastAsia="方正仿宋_GBK" w:cs="Times New Roman"/>
          <w:bCs/>
          <w:color w:val="auto"/>
          <w:sz w:val="32"/>
          <w:szCs w:val="32"/>
        </w:rPr>
        <w:t>单位</w:t>
      </w:r>
      <w:r>
        <w:rPr>
          <w:rFonts w:hint="eastAsia" w:ascii="Times New Roman" w:hAnsi="Times New Roman" w:eastAsia="方正仿宋_GBK" w:cs="Times New Roman"/>
          <w:bCs/>
          <w:color w:val="auto"/>
          <w:sz w:val="32"/>
          <w:szCs w:val="32"/>
          <w:lang w:eastAsia="zh-CN"/>
        </w:rPr>
        <w:t>：</w:t>
      </w:r>
    </w:p>
    <w:p>
      <w:pPr>
        <w:keepNext w:val="0"/>
        <w:keepLines w:val="0"/>
        <w:pageBreakBefore w:val="0"/>
        <w:widowControl w:val="0"/>
        <w:kinsoku/>
        <w:wordWrap/>
        <w:overflowPunct/>
        <w:topLinePunct w:val="0"/>
        <w:autoSpaceDE/>
        <w:autoSpaceDN/>
        <w:bidi w:val="0"/>
        <w:adjustRightInd w:val="0"/>
        <w:snapToGrid w:val="0"/>
        <w:spacing w:line="570" w:lineRule="exact"/>
        <w:ind w:firstLine="650" w:firstLineChars="200"/>
        <w:jc w:val="both"/>
        <w:textAlignment w:val="auto"/>
        <w:rPr>
          <w:rFonts w:hint="default" w:ascii="Times New Roman" w:hAnsi="Times New Roman" w:eastAsia="方正仿宋_GBK" w:cs="Times New Roman"/>
          <w:bCs/>
          <w:color w:val="auto"/>
          <w:sz w:val="32"/>
          <w:szCs w:val="32"/>
        </w:rPr>
      </w:pPr>
      <w:r>
        <w:rPr>
          <w:rFonts w:hint="default" w:ascii="Times New Roman" w:hAnsi="Times New Roman" w:eastAsia="方正仿宋_GBK" w:cs="Times New Roman"/>
          <w:bCs/>
          <w:color w:val="auto"/>
          <w:sz w:val="32"/>
          <w:szCs w:val="32"/>
        </w:rPr>
        <w:t>现将《常州市天宁区辐射事故应急预案》印发给你们，请认真组织实施。</w:t>
      </w:r>
    </w:p>
    <w:p>
      <w:pPr>
        <w:keepNext w:val="0"/>
        <w:keepLines w:val="0"/>
        <w:pageBreakBefore w:val="0"/>
        <w:widowControl w:val="0"/>
        <w:kinsoku/>
        <w:wordWrap/>
        <w:overflowPunct/>
        <w:topLinePunct w:val="0"/>
        <w:autoSpaceDE/>
        <w:autoSpaceDN/>
        <w:bidi w:val="0"/>
        <w:adjustRightInd w:val="0"/>
        <w:snapToGrid w:val="0"/>
        <w:spacing w:line="570" w:lineRule="exact"/>
        <w:ind w:firstLine="650" w:firstLineChars="200"/>
        <w:jc w:val="both"/>
        <w:textAlignment w:val="auto"/>
        <w:rPr>
          <w:rFonts w:hint="default" w:ascii="Times New Roman" w:hAnsi="Times New Roman" w:eastAsia="方正仿宋_GBK" w:cs="Times New Roman"/>
          <w:bCs/>
          <w:color w:val="auto"/>
          <w:sz w:val="32"/>
          <w:szCs w:val="32"/>
        </w:rPr>
      </w:pPr>
    </w:p>
    <w:p>
      <w:pPr>
        <w:keepNext w:val="0"/>
        <w:keepLines w:val="0"/>
        <w:pageBreakBefore w:val="0"/>
        <w:widowControl w:val="0"/>
        <w:kinsoku/>
        <w:wordWrap/>
        <w:overflowPunct/>
        <w:topLinePunct w:val="0"/>
        <w:autoSpaceDE/>
        <w:autoSpaceDN/>
        <w:bidi w:val="0"/>
        <w:adjustRightInd w:val="0"/>
        <w:snapToGrid w:val="0"/>
        <w:spacing w:line="570" w:lineRule="exact"/>
        <w:ind w:firstLine="650" w:firstLineChars="200"/>
        <w:jc w:val="both"/>
        <w:textAlignment w:val="auto"/>
        <w:rPr>
          <w:rFonts w:hint="default" w:ascii="Times New Roman" w:hAnsi="Times New Roman" w:eastAsia="方正仿宋_GBK" w:cs="Times New Roman"/>
          <w:bCs/>
          <w:color w:val="auto"/>
          <w:sz w:val="32"/>
          <w:szCs w:val="32"/>
        </w:rPr>
      </w:pPr>
    </w:p>
    <w:p>
      <w:pPr>
        <w:keepNext w:val="0"/>
        <w:keepLines w:val="0"/>
        <w:pageBreakBefore w:val="0"/>
        <w:widowControl w:val="0"/>
        <w:kinsoku/>
        <w:wordWrap/>
        <w:overflowPunct/>
        <w:topLinePunct w:val="0"/>
        <w:autoSpaceDE/>
        <w:autoSpaceDN/>
        <w:bidi w:val="0"/>
        <w:adjustRightInd w:val="0"/>
        <w:snapToGrid w:val="0"/>
        <w:spacing w:line="570" w:lineRule="exact"/>
        <w:ind w:left="3870" w:leftChars="1800"/>
        <w:jc w:val="center"/>
        <w:textAlignment w:val="auto"/>
        <w:rPr>
          <w:rFonts w:hint="default" w:ascii="Times New Roman" w:hAnsi="Times New Roman" w:eastAsia="方正仿宋_GBK" w:cs="Times New Roman"/>
          <w:bCs/>
          <w:color w:val="auto"/>
          <w:sz w:val="32"/>
          <w:szCs w:val="32"/>
        </w:rPr>
      </w:pPr>
      <w:r>
        <w:rPr>
          <w:rFonts w:hint="default" w:ascii="Times New Roman" w:hAnsi="Times New Roman" w:eastAsia="方正仿宋_GBK" w:cs="Times New Roman"/>
          <w:bCs/>
          <w:color w:val="auto"/>
          <w:sz w:val="32"/>
          <w:szCs w:val="32"/>
        </w:rPr>
        <w:t>常州市天宁区人民政府办公室</w:t>
      </w:r>
    </w:p>
    <w:p>
      <w:pPr>
        <w:keepNext w:val="0"/>
        <w:keepLines w:val="0"/>
        <w:pageBreakBefore w:val="0"/>
        <w:widowControl w:val="0"/>
        <w:kinsoku/>
        <w:wordWrap/>
        <w:overflowPunct/>
        <w:topLinePunct w:val="0"/>
        <w:autoSpaceDE/>
        <w:autoSpaceDN/>
        <w:bidi w:val="0"/>
        <w:adjustRightInd w:val="0"/>
        <w:snapToGrid w:val="0"/>
        <w:spacing w:line="570" w:lineRule="exact"/>
        <w:ind w:left="3870" w:leftChars="1800"/>
        <w:jc w:val="center"/>
        <w:textAlignment w:val="auto"/>
        <w:rPr>
          <w:rFonts w:hint="default" w:ascii="Times New Roman" w:hAnsi="Times New Roman" w:eastAsia="方正仿宋_GBK" w:cs="Times New Roman"/>
          <w:bCs/>
          <w:color w:val="auto"/>
          <w:sz w:val="32"/>
          <w:szCs w:val="32"/>
        </w:rPr>
      </w:pPr>
      <w:r>
        <w:rPr>
          <w:rFonts w:hint="default" w:ascii="Times New Roman" w:hAnsi="Times New Roman" w:eastAsia="方正仿宋_GBK" w:cs="Times New Roman"/>
          <w:bCs/>
          <w:color w:val="auto"/>
          <w:sz w:val="32"/>
          <w:szCs w:val="32"/>
        </w:rPr>
        <w:t>202</w:t>
      </w:r>
      <w:r>
        <w:rPr>
          <w:rFonts w:hint="eastAsia" w:eastAsia="方正仿宋_GBK" w:cs="Times New Roman"/>
          <w:bCs/>
          <w:color w:val="auto"/>
          <w:sz w:val="32"/>
          <w:szCs w:val="32"/>
          <w:lang w:val="en-US" w:eastAsia="zh-CN"/>
        </w:rPr>
        <w:t>2</w:t>
      </w:r>
      <w:r>
        <w:rPr>
          <w:rFonts w:hint="default" w:ascii="Times New Roman" w:hAnsi="Times New Roman" w:eastAsia="方正仿宋_GBK" w:cs="Times New Roman"/>
          <w:bCs/>
          <w:color w:val="auto"/>
          <w:sz w:val="32"/>
          <w:szCs w:val="32"/>
        </w:rPr>
        <w:t>年</w:t>
      </w:r>
      <w:r>
        <w:rPr>
          <w:rFonts w:hint="eastAsia" w:eastAsia="方正仿宋_GBK" w:cs="Times New Roman"/>
          <w:bCs/>
          <w:color w:val="auto"/>
          <w:sz w:val="32"/>
          <w:szCs w:val="32"/>
          <w:lang w:val="en-US" w:eastAsia="zh-CN"/>
        </w:rPr>
        <w:t>1</w:t>
      </w:r>
      <w:r>
        <w:rPr>
          <w:rFonts w:hint="default" w:ascii="Times New Roman" w:hAnsi="Times New Roman" w:eastAsia="方正仿宋_GBK" w:cs="Times New Roman"/>
          <w:bCs/>
          <w:color w:val="auto"/>
          <w:sz w:val="32"/>
          <w:szCs w:val="32"/>
        </w:rPr>
        <w:t>月</w:t>
      </w:r>
      <w:r>
        <w:rPr>
          <w:rFonts w:hint="eastAsia" w:eastAsia="方正仿宋_GBK" w:cs="Times New Roman"/>
          <w:bCs/>
          <w:color w:val="auto"/>
          <w:sz w:val="32"/>
          <w:szCs w:val="32"/>
          <w:lang w:val="en-US" w:eastAsia="zh-CN"/>
        </w:rPr>
        <w:t>24</w:t>
      </w:r>
      <w:r>
        <w:rPr>
          <w:rFonts w:hint="default" w:ascii="Times New Roman" w:hAnsi="Times New Roman" w:eastAsia="方正仿宋_GBK" w:cs="Times New Roman"/>
          <w:bCs/>
          <w:color w:val="auto"/>
          <w:sz w:val="32"/>
          <w:szCs w:val="32"/>
        </w:rPr>
        <w:t>日</w:t>
      </w:r>
    </w:p>
    <w:p>
      <w:pPr>
        <w:keepNext w:val="0"/>
        <w:keepLines w:val="0"/>
        <w:pageBreakBefore w:val="0"/>
        <w:widowControl w:val="0"/>
        <w:kinsoku/>
        <w:wordWrap/>
        <w:overflowPunct/>
        <w:topLinePunct w:val="0"/>
        <w:autoSpaceDE/>
        <w:autoSpaceDN/>
        <w:bidi w:val="0"/>
        <w:adjustRightInd w:val="0"/>
        <w:snapToGrid w:val="0"/>
        <w:spacing w:line="570" w:lineRule="exact"/>
        <w:ind w:firstLine="650" w:firstLineChars="200"/>
        <w:jc w:val="both"/>
        <w:textAlignment w:val="auto"/>
        <w:rPr>
          <w:rFonts w:hint="default" w:ascii="Times New Roman" w:hAnsi="Times New Roman" w:eastAsia="方正仿宋_GBK" w:cs="Times New Roman"/>
          <w:bCs/>
          <w:color w:val="auto"/>
          <w:sz w:val="32"/>
          <w:szCs w:val="32"/>
        </w:rPr>
      </w:pPr>
      <w:r>
        <w:rPr>
          <w:rFonts w:hint="default" w:ascii="Times New Roman" w:hAnsi="Times New Roman" w:eastAsia="方正仿宋_GBK" w:cs="Times New Roman"/>
          <w:bCs/>
          <w:color w:val="auto"/>
          <w:sz w:val="32"/>
          <w:szCs w:val="32"/>
        </w:rPr>
        <w:t>（此件公开发布）</w:t>
      </w:r>
    </w:p>
    <w:p>
      <w:pPr>
        <w:keepNext w:val="0"/>
        <w:keepLines w:val="0"/>
        <w:pageBreakBefore w:val="0"/>
        <w:widowControl w:val="0"/>
        <w:kinsoku/>
        <w:wordWrap/>
        <w:overflowPunct/>
        <w:topLinePunct w:val="0"/>
        <w:autoSpaceDE/>
        <w:autoSpaceDN/>
        <w:bidi w:val="0"/>
        <w:adjustRightInd w:val="0"/>
        <w:spacing w:line="570" w:lineRule="exact"/>
        <w:jc w:val="center"/>
        <w:textAlignment w:val="auto"/>
        <w:rPr>
          <w:rFonts w:eastAsia="仿宋"/>
          <w:bCs/>
          <w:sz w:val="32"/>
          <w:szCs w:val="32"/>
        </w:rPr>
      </w:pPr>
    </w:p>
    <w:p>
      <w:pPr>
        <w:keepNext w:val="0"/>
        <w:keepLines w:val="0"/>
        <w:pageBreakBefore w:val="0"/>
        <w:widowControl w:val="0"/>
        <w:kinsoku/>
        <w:wordWrap/>
        <w:overflowPunct/>
        <w:topLinePunct w:val="0"/>
        <w:autoSpaceDE/>
        <w:autoSpaceDN/>
        <w:bidi w:val="0"/>
        <w:adjustRightInd w:val="0"/>
        <w:spacing w:line="570" w:lineRule="exact"/>
        <w:jc w:val="center"/>
        <w:textAlignment w:val="auto"/>
        <w:rPr>
          <w:rFonts w:eastAsia="仿宋"/>
          <w:bCs/>
          <w:sz w:val="32"/>
          <w:szCs w:val="32"/>
        </w:rPr>
      </w:pPr>
    </w:p>
    <w:p>
      <w:pPr>
        <w:keepNext w:val="0"/>
        <w:keepLines w:val="0"/>
        <w:pageBreakBefore w:val="0"/>
        <w:widowControl w:val="0"/>
        <w:kinsoku/>
        <w:wordWrap/>
        <w:overflowPunct/>
        <w:topLinePunct w:val="0"/>
        <w:autoSpaceDE/>
        <w:autoSpaceDN/>
        <w:bidi w:val="0"/>
        <w:adjustRightInd w:val="0"/>
        <w:spacing w:line="570" w:lineRule="exact"/>
        <w:jc w:val="center"/>
        <w:textAlignment w:val="auto"/>
        <w:rPr>
          <w:rFonts w:eastAsia="仿宋"/>
          <w:bCs/>
          <w:sz w:val="32"/>
          <w:szCs w:val="32"/>
        </w:rPr>
      </w:pPr>
    </w:p>
    <w:p>
      <w:pPr>
        <w:keepNext w:val="0"/>
        <w:keepLines w:val="0"/>
        <w:pageBreakBefore w:val="0"/>
        <w:widowControl w:val="0"/>
        <w:kinsoku/>
        <w:wordWrap/>
        <w:overflowPunct/>
        <w:topLinePunct w:val="0"/>
        <w:autoSpaceDE/>
        <w:autoSpaceDN/>
        <w:bidi w:val="0"/>
        <w:adjustRightInd w:val="0"/>
        <w:spacing w:line="570" w:lineRule="exact"/>
        <w:jc w:val="center"/>
        <w:textAlignment w:val="auto"/>
        <w:rPr>
          <w:rFonts w:eastAsia="仿宋"/>
          <w:bCs/>
          <w:sz w:val="32"/>
          <w:szCs w:val="32"/>
        </w:rPr>
      </w:pPr>
    </w:p>
    <w:p>
      <w:pPr>
        <w:adjustRightInd w:val="0"/>
        <w:snapToGrid w:val="0"/>
        <w:jc w:val="center"/>
        <w:rPr>
          <w:rFonts w:eastAsia="方正小标宋_GBK"/>
          <w:bCs/>
          <w:sz w:val="52"/>
          <w:szCs w:val="52"/>
        </w:rPr>
      </w:pPr>
      <w:r>
        <w:rPr>
          <w:rFonts w:eastAsia="方正小标宋_GBK"/>
          <w:bCs/>
          <w:sz w:val="52"/>
          <w:szCs w:val="52"/>
        </w:rPr>
        <w:t>常州市天宁区辐射事故应急预案</w:t>
      </w:r>
    </w:p>
    <w:p>
      <w:pPr>
        <w:jc w:val="center"/>
        <w:rPr>
          <w:rFonts w:eastAsia="方正黑体_GBK"/>
          <w:bCs/>
          <w:sz w:val="44"/>
          <w:szCs w:val="44"/>
        </w:rPr>
      </w:pPr>
      <w:r>
        <w:rPr>
          <w:rFonts w:eastAsia="方正黑体_GBK"/>
          <w:bCs/>
          <w:sz w:val="44"/>
          <w:szCs w:val="44"/>
        </w:rPr>
        <w:t>（2021版）</w:t>
      </w:r>
    </w:p>
    <w:p>
      <w:pPr>
        <w:adjustRightInd w:val="0"/>
        <w:snapToGrid w:val="0"/>
        <w:jc w:val="center"/>
        <w:rPr>
          <w:rFonts w:eastAsia="楷体_GB2312"/>
          <w:b/>
          <w:sz w:val="52"/>
          <w:szCs w:val="52"/>
        </w:rPr>
      </w:pPr>
    </w:p>
    <w:p>
      <w:pPr>
        <w:jc w:val="center"/>
        <w:rPr>
          <w:rFonts w:eastAsia="黑体"/>
          <w:sz w:val="44"/>
          <w:szCs w:val="44"/>
        </w:rPr>
      </w:pPr>
    </w:p>
    <w:p>
      <w:pPr>
        <w:jc w:val="center"/>
        <w:rPr>
          <w:rFonts w:eastAsia="黑体"/>
          <w:sz w:val="44"/>
          <w:szCs w:val="44"/>
        </w:rPr>
      </w:pPr>
    </w:p>
    <w:p>
      <w:pPr>
        <w:jc w:val="center"/>
        <w:rPr>
          <w:rFonts w:eastAsia="黑体"/>
          <w:sz w:val="44"/>
          <w:szCs w:val="44"/>
        </w:rPr>
      </w:pPr>
    </w:p>
    <w:p>
      <w:pPr>
        <w:jc w:val="center"/>
        <w:rPr>
          <w:rFonts w:eastAsia="黑体"/>
          <w:sz w:val="44"/>
          <w:szCs w:val="44"/>
        </w:rPr>
      </w:pPr>
    </w:p>
    <w:p>
      <w:pPr>
        <w:jc w:val="center"/>
        <w:rPr>
          <w:rFonts w:eastAsia="黑体"/>
          <w:sz w:val="44"/>
          <w:szCs w:val="44"/>
        </w:rPr>
      </w:pPr>
    </w:p>
    <w:p>
      <w:pPr>
        <w:jc w:val="center"/>
        <w:rPr>
          <w:rFonts w:eastAsia="黑体"/>
          <w:sz w:val="44"/>
          <w:szCs w:val="44"/>
        </w:rPr>
      </w:pPr>
    </w:p>
    <w:p>
      <w:pPr>
        <w:jc w:val="center"/>
        <w:rPr>
          <w:rFonts w:eastAsia="黑体"/>
          <w:sz w:val="44"/>
          <w:szCs w:val="44"/>
        </w:rPr>
      </w:pPr>
    </w:p>
    <w:p>
      <w:pPr>
        <w:jc w:val="center"/>
        <w:rPr>
          <w:rFonts w:eastAsia="黑体"/>
          <w:sz w:val="44"/>
          <w:szCs w:val="44"/>
        </w:rPr>
      </w:pPr>
    </w:p>
    <w:p>
      <w:pPr>
        <w:jc w:val="center"/>
        <w:rPr>
          <w:rFonts w:eastAsia="黑体"/>
          <w:sz w:val="44"/>
          <w:szCs w:val="44"/>
        </w:rPr>
      </w:pPr>
    </w:p>
    <w:p>
      <w:pPr>
        <w:jc w:val="center"/>
        <w:rPr>
          <w:rFonts w:eastAsia="方正黑体_GBK"/>
          <w:bCs/>
          <w:sz w:val="32"/>
          <w:szCs w:val="32"/>
        </w:rPr>
      </w:pPr>
      <w:r>
        <w:rPr>
          <w:rFonts w:eastAsia="方正黑体_GBK"/>
          <w:bCs/>
          <w:sz w:val="32"/>
          <w:szCs w:val="32"/>
        </w:rPr>
        <w:t>天宁区人民政府</w:t>
      </w:r>
    </w:p>
    <w:p>
      <w:pPr>
        <w:jc w:val="center"/>
        <w:rPr>
          <w:rFonts w:eastAsia="方正黑体_GBK"/>
          <w:bCs/>
          <w:sz w:val="36"/>
          <w:szCs w:val="36"/>
        </w:rPr>
      </w:pPr>
      <w:r>
        <w:rPr>
          <w:rFonts w:eastAsia="方正黑体_GBK"/>
          <w:bCs/>
          <w:sz w:val="32"/>
          <w:szCs w:val="32"/>
        </w:rPr>
        <w:t>二〇二</w:t>
      </w:r>
      <w:r>
        <w:rPr>
          <w:rFonts w:hint="eastAsia" w:eastAsia="方正黑体_GBK"/>
          <w:bCs/>
          <w:sz w:val="32"/>
          <w:szCs w:val="32"/>
          <w:lang w:eastAsia="zh-CN"/>
        </w:rPr>
        <w:t>二</w:t>
      </w:r>
      <w:r>
        <w:rPr>
          <w:rFonts w:eastAsia="方正黑体_GBK"/>
          <w:bCs/>
          <w:sz w:val="32"/>
          <w:szCs w:val="32"/>
        </w:rPr>
        <w:t>年</w:t>
      </w:r>
      <w:r>
        <w:rPr>
          <w:rFonts w:hint="eastAsia" w:eastAsia="方正黑体_GBK"/>
          <w:bCs/>
          <w:sz w:val="32"/>
          <w:szCs w:val="32"/>
          <w:lang w:eastAsia="zh-CN"/>
        </w:rPr>
        <w:t>一</w:t>
      </w:r>
      <w:r>
        <w:rPr>
          <w:rFonts w:eastAsia="方正黑体_GBK"/>
          <w:bCs/>
          <w:sz w:val="32"/>
          <w:szCs w:val="32"/>
        </w:rPr>
        <w:t>月</w:t>
      </w:r>
      <w:r>
        <w:rPr>
          <w:rFonts w:eastAsia="黑体"/>
          <w:sz w:val="48"/>
          <w:szCs w:val="48"/>
        </w:rPr>
        <w:br w:type="page"/>
      </w:r>
      <w:r>
        <w:rPr>
          <w:rFonts w:hint="default" w:ascii="Times New Roman" w:hAnsi="Times New Roman" w:eastAsia="方正小标宋_GBK" w:cs="Times New Roman"/>
          <w:color w:val="auto"/>
          <w:sz w:val="44"/>
          <w:szCs w:val="44"/>
          <w:lang w:val="zh-CN"/>
        </w:rPr>
        <w:t>目  录</w:t>
      </w:r>
    </w:p>
    <w:p>
      <w:pPr>
        <w:pStyle w:val="17"/>
        <w:keepNext w:val="0"/>
        <w:keepLines w:val="0"/>
        <w:pageBreakBefore w:val="0"/>
        <w:widowControl w:val="0"/>
        <w:kinsoku/>
        <w:wordWrap/>
        <w:overflowPunct/>
        <w:topLinePunct w:val="0"/>
        <w:autoSpaceDE/>
        <w:autoSpaceDN/>
        <w:bidi w:val="0"/>
        <w:adjustRightInd/>
        <w:snapToGrid/>
        <w:spacing w:before="0" w:after="0" w:line="550" w:lineRule="exact"/>
        <w:jc w:val="both"/>
        <w:textAlignment w:val="auto"/>
        <w:rPr>
          <w:rFonts w:ascii="Times New Roman" w:hAnsi="Times New Roman" w:cs="Times New Roman"/>
          <w:b w:val="0"/>
          <w:sz w:val="32"/>
          <w:szCs w:val="32"/>
          <w:highlight w:val="yellow"/>
        </w:rPr>
      </w:pPr>
    </w:p>
    <w:p>
      <w:pPr>
        <w:pStyle w:val="17"/>
        <w:keepNext w:val="0"/>
        <w:keepLines w:val="0"/>
        <w:pageBreakBefore w:val="0"/>
        <w:widowControl w:val="0"/>
        <w:kinsoku/>
        <w:wordWrap/>
        <w:overflowPunct/>
        <w:topLinePunct w:val="0"/>
        <w:autoSpaceDE/>
        <w:autoSpaceDN/>
        <w:bidi w:val="0"/>
        <w:adjustRightInd/>
        <w:snapToGrid/>
        <w:spacing w:before="0" w:after="0" w:line="550" w:lineRule="exact"/>
        <w:jc w:val="both"/>
        <w:textAlignment w:val="auto"/>
        <w:rPr>
          <w:rFonts w:ascii="Times New Roman" w:hAnsi="Times New Roman" w:eastAsia="方正黑体_GBK" w:cs="Times New Roman"/>
          <w:b w:val="0"/>
          <w:bCs w:val="0"/>
          <w:caps w:val="0"/>
          <w:sz w:val="32"/>
          <w:szCs w:val="32"/>
        </w:rPr>
      </w:pPr>
      <w:r>
        <w:rPr>
          <w:rFonts w:ascii="Times New Roman" w:hAnsi="Times New Roman" w:cs="Times New Roman"/>
          <w:b w:val="0"/>
          <w:sz w:val="32"/>
          <w:szCs w:val="32"/>
          <w:highlight w:val="yellow"/>
        </w:rPr>
        <w:fldChar w:fldCharType="begin"/>
      </w:r>
      <w:r>
        <w:rPr>
          <w:rFonts w:ascii="Times New Roman" w:hAnsi="Times New Roman" w:cs="Times New Roman"/>
          <w:b w:val="0"/>
          <w:sz w:val="32"/>
          <w:szCs w:val="32"/>
          <w:highlight w:val="yellow"/>
        </w:rPr>
        <w:instrText xml:space="preserve"> TOC \o "1-2" \h \z \u </w:instrText>
      </w:r>
      <w:r>
        <w:rPr>
          <w:rFonts w:ascii="Times New Roman" w:hAnsi="Times New Roman" w:cs="Times New Roman"/>
          <w:b w:val="0"/>
          <w:sz w:val="32"/>
          <w:szCs w:val="32"/>
          <w:highlight w:val="yellow"/>
        </w:rPr>
        <w:fldChar w:fldCharType="separate"/>
      </w:r>
      <w:r>
        <w:rPr>
          <w:sz w:val="32"/>
          <w:szCs w:val="32"/>
        </w:rPr>
        <w:fldChar w:fldCharType="begin"/>
      </w:r>
      <w:r>
        <w:rPr>
          <w:sz w:val="32"/>
          <w:szCs w:val="32"/>
        </w:rPr>
        <w:instrText xml:space="preserve"> HYPERLINK \l "_Toc86220842" </w:instrText>
      </w:r>
      <w:r>
        <w:rPr>
          <w:sz w:val="32"/>
          <w:szCs w:val="32"/>
        </w:rPr>
        <w:fldChar w:fldCharType="separate"/>
      </w:r>
      <w:r>
        <w:rPr>
          <w:rStyle w:val="27"/>
          <w:rFonts w:eastAsia="方正黑体_GBK"/>
          <w:b w:val="0"/>
          <w:sz w:val="32"/>
          <w:szCs w:val="32"/>
        </w:rPr>
        <w:t>1</w:t>
      </w:r>
      <w:r>
        <w:rPr>
          <w:rStyle w:val="27"/>
          <w:rFonts w:hint="eastAsia" w:eastAsia="方正黑体_GBK"/>
          <w:b w:val="0"/>
          <w:sz w:val="32"/>
          <w:szCs w:val="32"/>
          <w:lang w:eastAsia="zh-CN"/>
        </w:rPr>
        <w:t>　</w:t>
      </w:r>
      <w:r>
        <w:rPr>
          <w:rStyle w:val="27"/>
          <w:rFonts w:eastAsia="方正黑体_GBK"/>
          <w:b w:val="0"/>
          <w:sz w:val="32"/>
          <w:szCs w:val="32"/>
        </w:rPr>
        <w:t>总则</w:t>
      </w:r>
      <w:r>
        <w:rPr>
          <w:rStyle w:val="27"/>
          <w:rFonts w:eastAsia="方正黑体_GBK"/>
          <w:b w:val="0"/>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mallCaps w:val="0"/>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"_Toc86220843" </w:instrText>
      </w:r>
      <w:r>
        <w:rPr>
          <w:rFonts w:hint="default" w:ascii="Times New Roman" w:hAnsi="Times New Roman" w:eastAsia="方正楷体_GBK" w:cs="Times New Roman"/>
          <w:sz w:val="32"/>
          <w:szCs w:val="32"/>
        </w:rPr>
        <w:fldChar w:fldCharType="separate"/>
      </w:r>
      <w:r>
        <w:rPr>
          <w:rStyle w:val="27"/>
          <w:rFonts w:hint="default" w:ascii="Times New Roman" w:hAnsi="Times New Roman" w:eastAsia="方正楷体_GBK" w:cs="Times New Roman"/>
          <w:sz w:val="32"/>
          <w:szCs w:val="32"/>
        </w:rPr>
        <w:t>1.1</w:t>
      </w:r>
      <w:r>
        <w:rPr>
          <w:rStyle w:val="27"/>
          <w:rFonts w:hint="default" w:ascii="Times New Roman" w:hAnsi="Times New Roman" w:eastAsia="方正楷体_GBK" w:cs="Times New Roman"/>
          <w:sz w:val="32"/>
          <w:szCs w:val="32"/>
          <w:lang w:eastAsia="zh-CN"/>
        </w:rPr>
        <w:t>　</w:t>
      </w:r>
      <w:r>
        <w:rPr>
          <w:rStyle w:val="27"/>
          <w:rFonts w:hint="default" w:ascii="Times New Roman" w:hAnsi="Times New Roman" w:eastAsia="方正楷体_GBK" w:cs="Times New Roman"/>
          <w:sz w:val="32"/>
          <w:szCs w:val="32"/>
        </w:rPr>
        <w:t>编制目的</w:t>
      </w:r>
      <w:r>
        <w:rPr>
          <w:rStyle w:val="27"/>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mallCaps w:val="0"/>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"_Toc86220844" </w:instrText>
      </w:r>
      <w:r>
        <w:rPr>
          <w:rFonts w:hint="default" w:ascii="Times New Roman" w:hAnsi="Times New Roman" w:eastAsia="方正楷体_GBK" w:cs="Times New Roman"/>
          <w:sz w:val="32"/>
          <w:szCs w:val="32"/>
        </w:rPr>
        <w:fldChar w:fldCharType="separate"/>
      </w:r>
      <w:r>
        <w:rPr>
          <w:rStyle w:val="27"/>
          <w:rFonts w:hint="default" w:ascii="Times New Roman" w:hAnsi="Times New Roman" w:eastAsia="方正楷体_GBK" w:cs="Times New Roman"/>
          <w:sz w:val="32"/>
          <w:szCs w:val="32"/>
        </w:rPr>
        <w:t>1.2</w:t>
      </w:r>
      <w:r>
        <w:rPr>
          <w:rStyle w:val="27"/>
          <w:rFonts w:hint="default" w:ascii="Times New Roman" w:hAnsi="Times New Roman" w:eastAsia="方正楷体_GBK" w:cs="Times New Roman"/>
          <w:sz w:val="32"/>
          <w:szCs w:val="32"/>
          <w:lang w:eastAsia="zh-CN"/>
        </w:rPr>
        <w:t>　</w:t>
      </w:r>
      <w:r>
        <w:rPr>
          <w:rStyle w:val="27"/>
          <w:rFonts w:hint="default" w:ascii="Times New Roman" w:hAnsi="Times New Roman" w:eastAsia="方正楷体_GBK" w:cs="Times New Roman"/>
          <w:sz w:val="32"/>
          <w:szCs w:val="32"/>
        </w:rPr>
        <w:t>编制依据</w:t>
      </w:r>
      <w:r>
        <w:rPr>
          <w:rStyle w:val="27"/>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mallCaps w:val="0"/>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"_Toc86220845" </w:instrText>
      </w:r>
      <w:r>
        <w:rPr>
          <w:rFonts w:hint="default" w:ascii="Times New Roman" w:hAnsi="Times New Roman" w:eastAsia="方正楷体_GBK" w:cs="Times New Roman"/>
          <w:sz w:val="32"/>
          <w:szCs w:val="32"/>
        </w:rPr>
        <w:fldChar w:fldCharType="separate"/>
      </w:r>
      <w:r>
        <w:rPr>
          <w:rStyle w:val="27"/>
          <w:rFonts w:hint="default" w:ascii="Times New Roman" w:hAnsi="Times New Roman" w:eastAsia="方正楷体_GBK" w:cs="Times New Roman"/>
          <w:sz w:val="32"/>
          <w:szCs w:val="32"/>
        </w:rPr>
        <w:t>1.3</w:t>
      </w:r>
      <w:r>
        <w:rPr>
          <w:rStyle w:val="27"/>
          <w:rFonts w:hint="default" w:ascii="Times New Roman" w:hAnsi="Times New Roman" w:eastAsia="方正楷体_GBK" w:cs="Times New Roman"/>
          <w:sz w:val="32"/>
          <w:szCs w:val="32"/>
          <w:lang w:eastAsia="zh-CN"/>
        </w:rPr>
        <w:t>　</w:t>
      </w:r>
      <w:r>
        <w:rPr>
          <w:rStyle w:val="27"/>
          <w:rFonts w:hint="default" w:ascii="Times New Roman" w:hAnsi="Times New Roman" w:eastAsia="方正楷体_GBK" w:cs="Times New Roman"/>
          <w:sz w:val="32"/>
          <w:szCs w:val="32"/>
        </w:rPr>
        <w:t>适用范围</w:t>
      </w:r>
      <w:r>
        <w:rPr>
          <w:rStyle w:val="27"/>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mallCaps w:val="0"/>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"_Toc86220846" </w:instrText>
      </w:r>
      <w:r>
        <w:rPr>
          <w:rFonts w:hint="default" w:ascii="Times New Roman" w:hAnsi="Times New Roman" w:eastAsia="方正楷体_GBK" w:cs="Times New Roman"/>
          <w:sz w:val="32"/>
          <w:szCs w:val="32"/>
        </w:rPr>
        <w:fldChar w:fldCharType="separate"/>
      </w:r>
      <w:r>
        <w:rPr>
          <w:rStyle w:val="27"/>
          <w:rFonts w:hint="default" w:ascii="Times New Roman" w:hAnsi="Times New Roman" w:eastAsia="方正楷体_GBK" w:cs="Times New Roman"/>
          <w:sz w:val="32"/>
          <w:szCs w:val="32"/>
        </w:rPr>
        <w:t>1.4</w:t>
      </w:r>
      <w:r>
        <w:rPr>
          <w:rStyle w:val="27"/>
          <w:rFonts w:hint="default" w:ascii="Times New Roman" w:hAnsi="Times New Roman" w:eastAsia="方正楷体_GBK" w:cs="Times New Roman"/>
          <w:sz w:val="32"/>
          <w:szCs w:val="32"/>
          <w:lang w:eastAsia="zh-CN"/>
        </w:rPr>
        <w:t>　</w:t>
      </w:r>
      <w:r>
        <w:rPr>
          <w:rStyle w:val="27"/>
          <w:rFonts w:hint="default" w:ascii="Times New Roman" w:hAnsi="Times New Roman" w:eastAsia="方正楷体_GBK" w:cs="Times New Roman"/>
          <w:sz w:val="32"/>
          <w:szCs w:val="32"/>
        </w:rPr>
        <w:t>工作原则</w:t>
      </w:r>
      <w:r>
        <w:rPr>
          <w:rStyle w:val="27"/>
          <w:rFonts w:hint="default" w:ascii="Times New Roman" w:hAnsi="Times New Roman" w:eastAsia="方正楷体_GBK" w:cs="Times New Roman"/>
          <w:sz w:val="32"/>
          <w:szCs w:val="32"/>
        </w:rPr>
        <w:fldChar w:fldCharType="end"/>
      </w:r>
    </w:p>
    <w:p>
      <w:pPr>
        <w:pStyle w:val="17"/>
        <w:keepNext w:val="0"/>
        <w:keepLines w:val="0"/>
        <w:pageBreakBefore w:val="0"/>
        <w:widowControl w:val="0"/>
        <w:kinsoku/>
        <w:wordWrap/>
        <w:overflowPunct/>
        <w:topLinePunct w:val="0"/>
        <w:autoSpaceDE/>
        <w:autoSpaceDN/>
        <w:bidi w:val="0"/>
        <w:adjustRightInd/>
        <w:snapToGrid/>
        <w:spacing w:before="0" w:line="550" w:lineRule="exact"/>
        <w:jc w:val="both"/>
        <w:textAlignment w:val="auto"/>
        <w:rPr>
          <w:rFonts w:ascii="Times New Roman" w:hAnsi="Times New Roman" w:eastAsia="方正仿宋_GBK" w:cs="Times New Roman"/>
          <w:b w:val="0"/>
          <w:bCs w:val="0"/>
          <w:caps w:val="0"/>
          <w:sz w:val="32"/>
          <w:szCs w:val="32"/>
        </w:rPr>
      </w:pPr>
      <w:r>
        <w:rPr>
          <w:sz w:val="32"/>
          <w:szCs w:val="32"/>
        </w:rPr>
        <w:fldChar w:fldCharType="begin"/>
      </w:r>
      <w:r>
        <w:rPr>
          <w:sz w:val="32"/>
          <w:szCs w:val="32"/>
        </w:rPr>
        <w:instrText xml:space="preserve"> HYPERLINK \l "_Toc86220847" </w:instrText>
      </w:r>
      <w:r>
        <w:rPr>
          <w:sz w:val="32"/>
          <w:szCs w:val="32"/>
        </w:rPr>
        <w:fldChar w:fldCharType="separate"/>
      </w:r>
      <w:r>
        <w:rPr>
          <w:rStyle w:val="27"/>
          <w:rFonts w:eastAsia="方正黑体_GBK"/>
          <w:b w:val="0"/>
          <w:sz w:val="32"/>
          <w:szCs w:val="32"/>
        </w:rPr>
        <w:t>2</w:t>
      </w:r>
      <w:r>
        <w:rPr>
          <w:rStyle w:val="27"/>
          <w:rFonts w:hint="eastAsia" w:eastAsia="方正黑体_GBK"/>
          <w:b w:val="0"/>
          <w:sz w:val="32"/>
          <w:szCs w:val="32"/>
          <w:lang w:eastAsia="zh-CN"/>
        </w:rPr>
        <w:t>　</w:t>
      </w:r>
      <w:r>
        <w:rPr>
          <w:rStyle w:val="27"/>
          <w:rFonts w:eastAsia="方正黑体_GBK"/>
          <w:b w:val="0"/>
          <w:sz w:val="32"/>
          <w:szCs w:val="32"/>
        </w:rPr>
        <w:t>事故分级</w:t>
      </w:r>
      <w:r>
        <w:rPr>
          <w:rStyle w:val="27"/>
          <w:rFonts w:eastAsia="方正黑体_GBK"/>
          <w:b w:val="0"/>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"_Toc86220848"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2.1</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特别重大辐射事故（Ⅰ级）</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"_Toc86220849"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2.2</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重大辐射事故（Ⅱ级）</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"_Toc86220850"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2.3</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较大辐射事故（Ⅲ级）</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ascii="Times New Roman" w:hAnsi="Times New Roman" w:eastAsia="方正仿宋_GBK" w:cs="Times New Roman"/>
          <w:smallCaps w:val="0"/>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"_Toc86220851"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2.4</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一般辐射事故（Ⅳ级）</w:t>
      </w:r>
      <w:r>
        <w:rPr>
          <w:rFonts w:hint="default" w:ascii="Times New Roman" w:hAnsi="Times New Roman" w:eastAsia="方正楷体_GBK" w:cs="Times New Roman"/>
          <w:sz w:val="32"/>
          <w:szCs w:val="32"/>
        </w:rPr>
        <w:fldChar w:fldCharType="end"/>
      </w:r>
    </w:p>
    <w:p>
      <w:pPr>
        <w:pStyle w:val="17"/>
        <w:keepNext w:val="0"/>
        <w:keepLines w:val="0"/>
        <w:pageBreakBefore w:val="0"/>
        <w:widowControl w:val="0"/>
        <w:kinsoku/>
        <w:wordWrap/>
        <w:overflowPunct/>
        <w:topLinePunct w:val="0"/>
        <w:autoSpaceDE/>
        <w:autoSpaceDN/>
        <w:bidi w:val="0"/>
        <w:adjustRightInd/>
        <w:snapToGrid/>
        <w:spacing w:before="0" w:line="550" w:lineRule="exact"/>
        <w:jc w:val="both"/>
        <w:textAlignment w:val="auto"/>
        <w:rPr>
          <w:rFonts w:ascii="Times New Roman" w:hAnsi="Times New Roman" w:eastAsia="方正仿宋_GBK" w:cs="Times New Roman"/>
          <w:b w:val="0"/>
          <w:bCs w:val="0"/>
          <w:caps w:val="0"/>
          <w:sz w:val="32"/>
          <w:szCs w:val="32"/>
        </w:rPr>
      </w:pPr>
      <w:r>
        <w:rPr>
          <w:sz w:val="32"/>
          <w:szCs w:val="32"/>
        </w:rPr>
        <w:fldChar w:fldCharType="begin"/>
      </w:r>
      <w:r>
        <w:rPr>
          <w:sz w:val="32"/>
          <w:szCs w:val="32"/>
        </w:rPr>
        <w:instrText xml:space="preserve"> HYPERLINK \l "_Toc86220852" </w:instrText>
      </w:r>
      <w:r>
        <w:rPr>
          <w:sz w:val="32"/>
          <w:szCs w:val="32"/>
        </w:rPr>
        <w:fldChar w:fldCharType="separate"/>
      </w:r>
      <w:r>
        <w:rPr>
          <w:rStyle w:val="27"/>
          <w:rFonts w:eastAsia="方正黑体_GBK"/>
          <w:b w:val="0"/>
          <w:sz w:val="32"/>
          <w:szCs w:val="32"/>
        </w:rPr>
        <w:t>3</w:t>
      </w:r>
      <w:r>
        <w:rPr>
          <w:rStyle w:val="27"/>
          <w:rFonts w:hint="eastAsia" w:eastAsia="方正黑体_GBK"/>
          <w:b w:val="0"/>
          <w:sz w:val="32"/>
          <w:szCs w:val="32"/>
          <w:lang w:val="en-US" w:eastAsia="zh-CN"/>
        </w:rPr>
        <w:t>　</w:t>
      </w:r>
      <w:r>
        <w:rPr>
          <w:rStyle w:val="27"/>
          <w:rFonts w:eastAsia="方正黑体_GBK"/>
          <w:b w:val="0"/>
          <w:sz w:val="32"/>
          <w:szCs w:val="32"/>
        </w:rPr>
        <w:t>组织体系</w:t>
      </w:r>
      <w:r>
        <w:rPr>
          <w:rStyle w:val="27"/>
          <w:rFonts w:eastAsia="方正黑体_GBK"/>
          <w:b w:val="0"/>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"_Toc86220853"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3.1</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区辐射事故应急指挥部</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"_Toc86220854"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3.2</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办事机构</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"_Toc86220855"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3.3</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现场指挥部</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"_Toc86220856"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3.4</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专家组</w:t>
      </w:r>
      <w:r>
        <w:rPr>
          <w:rFonts w:hint="default" w:ascii="Times New Roman" w:hAnsi="Times New Roman" w:eastAsia="方正楷体_GBK" w:cs="Times New Roman"/>
          <w:sz w:val="32"/>
          <w:szCs w:val="32"/>
        </w:rPr>
        <w:fldChar w:fldCharType="end"/>
      </w:r>
    </w:p>
    <w:p>
      <w:pPr>
        <w:pStyle w:val="17"/>
        <w:keepNext w:val="0"/>
        <w:keepLines w:val="0"/>
        <w:pageBreakBefore w:val="0"/>
        <w:widowControl w:val="0"/>
        <w:kinsoku/>
        <w:wordWrap/>
        <w:overflowPunct/>
        <w:topLinePunct w:val="0"/>
        <w:autoSpaceDE/>
        <w:autoSpaceDN/>
        <w:bidi w:val="0"/>
        <w:adjustRightInd/>
        <w:snapToGrid/>
        <w:spacing w:before="0" w:line="550" w:lineRule="exact"/>
        <w:jc w:val="both"/>
        <w:textAlignment w:val="auto"/>
        <w:rPr>
          <w:rFonts w:ascii="Times New Roman" w:hAnsi="Times New Roman" w:eastAsia="方正仿宋_GBK" w:cs="Times New Roman"/>
          <w:b w:val="0"/>
          <w:bCs w:val="0"/>
          <w:caps w:val="0"/>
          <w:sz w:val="32"/>
          <w:szCs w:val="32"/>
        </w:rPr>
      </w:pPr>
      <w:r>
        <w:rPr>
          <w:sz w:val="32"/>
          <w:szCs w:val="32"/>
        </w:rPr>
        <w:fldChar w:fldCharType="begin"/>
      </w:r>
      <w:r>
        <w:rPr>
          <w:sz w:val="32"/>
          <w:szCs w:val="32"/>
        </w:rPr>
        <w:instrText xml:space="preserve"> HYPERLINK \l "_Toc86220857" </w:instrText>
      </w:r>
      <w:r>
        <w:rPr>
          <w:sz w:val="32"/>
          <w:szCs w:val="32"/>
        </w:rPr>
        <w:fldChar w:fldCharType="separate"/>
      </w:r>
      <w:r>
        <w:rPr>
          <w:rStyle w:val="27"/>
          <w:rFonts w:eastAsia="方正黑体_GBK"/>
          <w:b w:val="0"/>
          <w:sz w:val="32"/>
          <w:szCs w:val="32"/>
        </w:rPr>
        <w:t>4</w:t>
      </w:r>
      <w:r>
        <w:rPr>
          <w:rStyle w:val="27"/>
          <w:rFonts w:hint="eastAsia" w:eastAsia="方正黑体_GBK"/>
          <w:b w:val="0"/>
          <w:sz w:val="32"/>
          <w:szCs w:val="32"/>
          <w:lang w:eastAsia="zh-CN"/>
        </w:rPr>
        <w:t>　</w:t>
      </w:r>
      <w:r>
        <w:rPr>
          <w:rStyle w:val="27"/>
          <w:rFonts w:eastAsia="方正黑体_GBK"/>
          <w:b w:val="0"/>
          <w:sz w:val="32"/>
          <w:szCs w:val="32"/>
        </w:rPr>
        <w:t>预防预警</w:t>
      </w:r>
      <w:r>
        <w:rPr>
          <w:rStyle w:val="27"/>
          <w:rFonts w:eastAsia="方正黑体_GBK"/>
          <w:b w:val="0"/>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"_Toc86220858"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4.1</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信息监控</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"_Toc86220859"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4.2</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预防工作</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"_Toc86220860"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4.3</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预警工作</w:t>
      </w:r>
      <w:r>
        <w:rPr>
          <w:rFonts w:hint="default" w:ascii="Times New Roman" w:hAnsi="Times New Roman" w:eastAsia="方正楷体_GBK" w:cs="Times New Roman"/>
          <w:sz w:val="32"/>
          <w:szCs w:val="32"/>
        </w:rPr>
        <w:fldChar w:fldCharType="end"/>
      </w:r>
    </w:p>
    <w:p>
      <w:pPr>
        <w:pStyle w:val="17"/>
        <w:keepNext w:val="0"/>
        <w:keepLines w:val="0"/>
        <w:pageBreakBefore w:val="0"/>
        <w:widowControl w:val="0"/>
        <w:kinsoku/>
        <w:wordWrap/>
        <w:overflowPunct/>
        <w:topLinePunct w:val="0"/>
        <w:autoSpaceDE/>
        <w:autoSpaceDN/>
        <w:bidi w:val="0"/>
        <w:adjustRightInd/>
        <w:snapToGrid/>
        <w:spacing w:before="0" w:line="550" w:lineRule="exact"/>
        <w:jc w:val="both"/>
        <w:textAlignment w:val="auto"/>
        <w:rPr>
          <w:rFonts w:ascii="Times New Roman" w:hAnsi="Times New Roman" w:eastAsia="方正黑体_GBK" w:cs="Times New Roman"/>
          <w:b w:val="0"/>
          <w:bCs w:val="0"/>
          <w:caps w:val="0"/>
          <w:sz w:val="32"/>
          <w:szCs w:val="32"/>
        </w:rPr>
      </w:pPr>
      <w:r>
        <w:rPr>
          <w:sz w:val="32"/>
          <w:szCs w:val="32"/>
        </w:rPr>
        <w:fldChar w:fldCharType="begin"/>
      </w:r>
      <w:r>
        <w:rPr>
          <w:sz w:val="32"/>
          <w:szCs w:val="32"/>
        </w:rPr>
        <w:instrText xml:space="preserve"> HYPERLINK \l "_Toc86220861" </w:instrText>
      </w:r>
      <w:r>
        <w:rPr>
          <w:sz w:val="32"/>
          <w:szCs w:val="32"/>
        </w:rPr>
        <w:fldChar w:fldCharType="separate"/>
      </w:r>
      <w:r>
        <w:rPr>
          <w:rStyle w:val="27"/>
          <w:rFonts w:eastAsia="方正黑体_GBK"/>
          <w:b w:val="0"/>
          <w:sz w:val="32"/>
          <w:szCs w:val="32"/>
        </w:rPr>
        <w:t>5</w:t>
      </w:r>
      <w:r>
        <w:rPr>
          <w:rStyle w:val="27"/>
          <w:rFonts w:hint="eastAsia" w:eastAsia="方正黑体_GBK"/>
          <w:b w:val="0"/>
          <w:sz w:val="32"/>
          <w:szCs w:val="32"/>
          <w:lang w:eastAsia="zh-CN"/>
        </w:rPr>
        <w:t>　</w:t>
      </w:r>
      <w:r>
        <w:rPr>
          <w:rStyle w:val="27"/>
          <w:rFonts w:eastAsia="方正黑体_GBK"/>
          <w:b w:val="0"/>
          <w:sz w:val="32"/>
          <w:szCs w:val="32"/>
        </w:rPr>
        <w:t>应急响应</w:t>
      </w:r>
      <w:r>
        <w:rPr>
          <w:rStyle w:val="27"/>
          <w:rFonts w:eastAsia="方正黑体_GBK"/>
          <w:b w:val="0"/>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"_Toc86220862"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5.1</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信息报送与处理</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"_Toc86220863"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5.2</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分级响应</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"_Toc86220864"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5.3</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应急监测</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"_Toc86220865"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5.4</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安全防护</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"_Toc86220866"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5.5</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通信联络</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"_Toc86220867"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5.6</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事故通报与信息发布</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ascii="Times New Roman" w:hAnsi="Times New Roman" w:eastAsia="方正仿宋_GBK" w:cs="Times New Roman"/>
          <w:smallCaps w:val="0"/>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"_Toc86220868"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5.7</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应急终止</w:t>
      </w:r>
      <w:r>
        <w:rPr>
          <w:rFonts w:hint="default" w:ascii="Times New Roman" w:hAnsi="Times New Roman" w:eastAsia="方正楷体_GBK" w:cs="Times New Roman"/>
          <w:sz w:val="32"/>
          <w:szCs w:val="32"/>
        </w:rPr>
        <w:fldChar w:fldCharType="end"/>
      </w:r>
    </w:p>
    <w:p>
      <w:pPr>
        <w:pStyle w:val="17"/>
        <w:keepNext w:val="0"/>
        <w:keepLines w:val="0"/>
        <w:pageBreakBefore w:val="0"/>
        <w:widowControl w:val="0"/>
        <w:kinsoku/>
        <w:wordWrap/>
        <w:overflowPunct/>
        <w:topLinePunct w:val="0"/>
        <w:autoSpaceDE/>
        <w:autoSpaceDN/>
        <w:bidi w:val="0"/>
        <w:adjustRightInd/>
        <w:snapToGrid/>
        <w:spacing w:before="0" w:line="550" w:lineRule="exact"/>
        <w:jc w:val="both"/>
        <w:textAlignment w:val="auto"/>
        <w:rPr>
          <w:rFonts w:ascii="Times New Roman" w:hAnsi="Times New Roman" w:eastAsia="方正黑体_GBK" w:cs="Times New Roman"/>
          <w:b w:val="0"/>
          <w:bCs w:val="0"/>
          <w:caps w:val="0"/>
          <w:sz w:val="32"/>
          <w:szCs w:val="32"/>
        </w:rPr>
      </w:pPr>
      <w:r>
        <w:rPr>
          <w:sz w:val="32"/>
          <w:szCs w:val="32"/>
        </w:rPr>
        <w:fldChar w:fldCharType="begin"/>
      </w:r>
      <w:r>
        <w:rPr>
          <w:sz w:val="32"/>
          <w:szCs w:val="32"/>
        </w:rPr>
        <w:instrText xml:space="preserve"> HYPERLINK \l "_Toc86220869" </w:instrText>
      </w:r>
      <w:r>
        <w:rPr>
          <w:sz w:val="32"/>
          <w:szCs w:val="32"/>
        </w:rPr>
        <w:fldChar w:fldCharType="separate"/>
      </w:r>
      <w:r>
        <w:rPr>
          <w:rStyle w:val="27"/>
          <w:rFonts w:eastAsia="方正黑体_GBK"/>
          <w:b w:val="0"/>
          <w:sz w:val="32"/>
          <w:szCs w:val="32"/>
        </w:rPr>
        <w:t>6</w:t>
      </w:r>
      <w:r>
        <w:rPr>
          <w:rStyle w:val="27"/>
          <w:rFonts w:hint="eastAsia" w:eastAsia="方正黑体_GBK"/>
          <w:b w:val="0"/>
          <w:sz w:val="32"/>
          <w:szCs w:val="32"/>
          <w:lang w:val="en-US" w:eastAsia="zh-CN"/>
        </w:rPr>
        <w:t>　</w:t>
      </w:r>
      <w:r>
        <w:rPr>
          <w:rStyle w:val="27"/>
          <w:rFonts w:eastAsia="方正黑体_GBK"/>
          <w:b w:val="0"/>
          <w:sz w:val="32"/>
          <w:szCs w:val="32"/>
        </w:rPr>
        <w:t>后期处理</w:t>
      </w:r>
      <w:r>
        <w:rPr>
          <w:rStyle w:val="27"/>
          <w:rFonts w:eastAsia="方正黑体_GBK"/>
          <w:b w:val="0"/>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"_Toc86220870"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6.1</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后续行动</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"_Toc86220871"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6.2</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善后处置</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"_Toc86220872"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6.3</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总结评估</w:t>
      </w:r>
      <w:r>
        <w:rPr>
          <w:rFonts w:hint="default" w:ascii="Times New Roman" w:hAnsi="Times New Roman" w:eastAsia="方正楷体_GBK" w:cs="Times New Roman"/>
          <w:sz w:val="32"/>
          <w:szCs w:val="32"/>
        </w:rPr>
        <w:fldChar w:fldCharType="end"/>
      </w:r>
    </w:p>
    <w:p>
      <w:pPr>
        <w:pStyle w:val="17"/>
        <w:keepNext w:val="0"/>
        <w:keepLines w:val="0"/>
        <w:pageBreakBefore w:val="0"/>
        <w:widowControl w:val="0"/>
        <w:kinsoku/>
        <w:wordWrap/>
        <w:overflowPunct/>
        <w:topLinePunct w:val="0"/>
        <w:autoSpaceDE/>
        <w:autoSpaceDN/>
        <w:bidi w:val="0"/>
        <w:adjustRightInd/>
        <w:snapToGrid/>
        <w:spacing w:before="0" w:line="550" w:lineRule="exact"/>
        <w:jc w:val="both"/>
        <w:textAlignment w:val="auto"/>
        <w:rPr>
          <w:rFonts w:ascii="Times New Roman" w:hAnsi="Times New Roman" w:eastAsia="方正仿宋_GBK" w:cs="Times New Roman"/>
          <w:b w:val="0"/>
          <w:bCs w:val="0"/>
          <w:caps w:val="0"/>
          <w:sz w:val="32"/>
          <w:szCs w:val="32"/>
        </w:rPr>
      </w:pPr>
      <w:r>
        <w:rPr>
          <w:sz w:val="32"/>
          <w:szCs w:val="32"/>
        </w:rPr>
        <w:fldChar w:fldCharType="begin"/>
      </w:r>
      <w:r>
        <w:rPr>
          <w:sz w:val="32"/>
          <w:szCs w:val="32"/>
        </w:rPr>
        <w:instrText xml:space="preserve"> HYPERLINK \l "_Toc86220873" </w:instrText>
      </w:r>
      <w:r>
        <w:rPr>
          <w:sz w:val="32"/>
          <w:szCs w:val="32"/>
        </w:rPr>
        <w:fldChar w:fldCharType="separate"/>
      </w:r>
      <w:r>
        <w:rPr>
          <w:rStyle w:val="27"/>
          <w:rFonts w:eastAsia="方正黑体_GBK"/>
          <w:b w:val="0"/>
          <w:sz w:val="32"/>
          <w:szCs w:val="32"/>
        </w:rPr>
        <w:t>7</w:t>
      </w:r>
      <w:r>
        <w:rPr>
          <w:rStyle w:val="27"/>
          <w:rFonts w:hint="eastAsia" w:eastAsia="方正黑体_GBK"/>
          <w:b w:val="0"/>
          <w:sz w:val="32"/>
          <w:szCs w:val="32"/>
          <w:lang w:eastAsia="zh-CN"/>
        </w:rPr>
        <w:t>　</w:t>
      </w:r>
      <w:r>
        <w:rPr>
          <w:rStyle w:val="27"/>
          <w:rFonts w:eastAsia="方正黑体_GBK"/>
          <w:b w:val="0"/>
          <w:sz w:val="32"/>
          <w:szCs w:val="32"/>
        </w:rPr>
        <w:t>保障措施</w:t>
      </w:r>
      <w:r>
        <w:rPr>
          <w:rStyle w:val="27"/>
          <w:rFonts w:eastAsia="方正黑体_GBK"/>
          <w:b w:val="0"/>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"_Toc86220874"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7.1</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资金保障</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"_Toc86220875"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7.2</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物资装备保障</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"_Toc86220876"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7.3</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通信保障</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"_Toc86220877"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7.4</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技术保障</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"_Toc86220878"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7.5</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培训、演习及宣传</w:t>
      </w:r>
      <w:r>
        <w:rPr>
          <w:rFonts w:hint="default" w:ascii="Times New Roman" w:hAnsi="Times New Roman" w:eastAsia="方正楷体_GBK" w:cs="Times New Roman"/>
          <w:sz w:val="32"/>
          <w:szCs w:val="32"/>
        </w:rPr>
        <w:fldChar w:fldCharType="end"/>
      </w:r>
    </w:p>
    <w:p>
      <w:pPr>
        <w:pStyle w:val="17"/>
        <w:keepNext w:val="0"/>
        <w:keepLines w:val="0"/>
        <w:pageBreakBefore w:val="0"/>
        <w:widowControl w:val="0"/>
        <w:kinsoku/>
        <w:wordWrap/>
        <w:overflowPunct/>
        <w:topLinePunct w:val="0"/>
        <w:autoSpaceDE/>
        <w:autoSpaceDN/>
        <w:bidi w:val="0"/>
        <w:adjustRightInd/>
        <w:snapToGrid/>
        <w:spacing w:before="0" w:line="550" w:lineRule="exact"/>
        <w:jc w:val="both"/>
        <w:textAlignment w:val="auto"/>
        <w:rPr>
          <w:rFonts w:ascii="Times New Roman" w:hAnsi="Times New Roman" w:eastAsia="方正黑体_GBK" w:cs="Times New Roman"/>
          <w:b w:val="0"/>
          <w:bCs w:val="0"/>
          <w:caps w:val="0"/>
          <w:sz w:val="32"/>
          <w:szCs w:val="32"/>
        </w:rPr>
      </w:pPr>
      <w:r>
        <w:rPr>
          <w:sz w:val="32"/>
          <w:szCs w:val="32"/>
        </w:rPr>
        <w:fldChar w:fldCharType="begin"/>
      </w:r>
      <w:r>
        <w:rPr>
          <w:sz w:val="32"/>
          <w:szCs w:val="32"/>
        </w:rPr>
        <w:instrText xml:space="preserve"> HYPERLINK \l "_Toc86220879" </w:instrText>
      </w:r>
      <w:r>
        <w:rPr>
          <w:sz w:val="32"/>
          <w:szCs w:val="32"/>
        </w:rPr>
        <w:fldChar w:fldCharType="separate"/>
      </w:r>
      <w:r>
        <w:rPr>
          <w:rStyle w:val="27"/>
          <w:rFonts w:eastAsia="方正黑体_GBK"/>
          <w:b w:val="0"/>
          <w:sz w:val="32"/>
          <w:szCs w:val="32"/>
        </w:rPr>
        <w:t>8</w:t>
      </w:r>
      <w:r>
        <w:rPr>
          <w:rStyle w:val="27"/>
          <w:rFonts w:hint="eastAsia" w:eastAsia="方正黑体_GBK"/>
          <w:b w:val="0"/>
          <w:sz w:val="32"/>
          <w:szCs w:val="32"/>
          <w:lang w:eastAsia="zh-CN"/>
        </w:rPr>
        <w:t>　</w:t>
      </w:r>
      <w:r>
        <w:rPr>
          <w:rStyle w:val="27"/>
          <w:rFonts w:eastAsia="方正黑体_GBK"/>
          <w:b w:val="0"/>
          <w:sz w:val="32"/>
          <w:szCs w:val="32"/>
        </w:rPr>
        <w:t>附则</w:t>
      </w:r>
      <w:r>
        <w:rPr>
          <w:rStyle w:val="27"/>
          <w:rFonts w:eastAsia="方正黑体_GBK"/>
          <w:b w:val="0"/>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"_Toc86220880"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8.1</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责任与奖惩</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"_Toc86220881"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8.2</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名词术语解释</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"_Toc86220882"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8.3</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预案管理</w:t>
      </w:r>
      <w:r>
        <w:rPr>
          <w:rFonts w:hint="default" w:ascii="Times New Roman" w:hAnsi="Times New Roman" w:eastAsia="方正楷体_GBK" w:cs="Times New Roman"/>
          <w:sz w:val="32"/>
          <w:szCs w:val="32"/>
        </w:rPr>
        <w:fldChar w:fldCharType="end"/>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50" w:lineRule="exact"/>
        <w:ind w:left="0" w:firstLine="487" w:firstLineChars="150"/>
        <w:jc w:val="both"/>
        <w:textAlignment w:val="auto"/>
        <w:rPr>
          <w:rFonts w:ascii="Times New Roman" w:hAnsi="Times New Roman" w:cs="Times New Roman" w:eastAsiaTheme="minorEastAsia"/>
          <w:smallCaps w:val="0"/>
          <w:sz w:val="32"/>
          <w:szCs w:val="32"/>
        </w:rPr>
      </w:pP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HYPERLINK \l "_Toc86220883"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8.4</w:t>
      </w:r>
      <w:r>
        <w:rPr>
          <w:rFonts w:hint="eastAsia" w:ascii="Times New Roman" w:hAnsi="Times New Roman" w:eastAsia="方正楷体_GBK" w:cs="Times New Roman"/>
          <w:sz w:val="32"/>
          <w:szCs w:val="32"/>
          <w:lang w:eastAsia="zh-CN"/>
        </w:rPr>
        <w:t>　</w:t>
      </w:r>
      <w:r>
        <w:rPr>
          <w:rFonts w:hint="default" w:ascii="Times New Roman" w:hAnsi="Times New Roman" w:eastAsia="方正楷体_GBK" w:cs="Times New Roman"/>
          <w:sz w:val="32"/>
          <w:szCs w:val="32"/>
        </w:rPr>
        <w:t>预案实施时间</w:t>
      </w:r>
      <w:r>
        <w:rPr>
          <w:rFonts w:hint="default" w:ascii="Times New Roman" w:hAnsi="Times New Roman" w:eastAsia="方正楷体_GBK" w:cs="Times New Roman"/>
          <w:sz w:val="32"/>
          <w:szCs w:val="32"/>
        </w:rPr>
        <w:fldChar w:fldCharType="end"/>
      </w:r>
    </w:p>
    <w:p>
      <w:pPr>
        <w:keepNext w:val="0"/>
        <w:keepLines w:val="0"/>
        <w:pageBreakBefore w:val="0"/>
        <w:widowControl w:val="0"/>
        <w:kinsoku/>
        <w:wordWrap/>
        <w:overflowPunct/>
        <w:topLinePunct w:val="0"/>
        <w:autoSpaceDE/>
        <w:autoSpaceDN/>
        <w:bidi w:val="0"/>
        <w:adjustRightInd/>
        <w:snapToGrid/>
        <w:spacing w:line="550" w:lineRule="exact"/>
        <w:ind w:firstLine="0" w:firstLineChars="0"/>
        <w:jc w:val="both"/>
        <w:textAlignment w:val="auto"/>
        <w:rPr>
          <w:rFonts w:eastAsia="方正黑体_GBK"/>
          <w:caps/>
          <w:sz w:val="32"/>
          <w:szCs w:val="32"/>
        </w:rPr>
      </w:pPr>
      <w:r>
        <w:rPr>
          <w:bCs/>
          <w:caps/>
          <w:sz w:val="32"/>
          <w:szCs w:val="32"/>
          <w:highlight w:val="yellow"/>
        </w:rPr>
        <w:fldChar w:fldCharType="end"/>
      </w:r>
      <w:r>
        <w:rPr>
          <w:rFonts w:eastAsia="方正黑体_GBK"/>
          <w:caps/>
          <w:sz w:val="32"/>
          <w:szCs w:val="32"/>
        </w:rPr>
        <w:t>附件目录</w:t>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4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t>附件1：天宁区辐射事故应急处置机构组成表</w:t>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4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t>附件2：天宁区辐射事故应急处置流程图</w:t>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4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t>附件3：辐射事故初始报告表</w:t>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4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t>附件4：辐射事故续报报告表</w:t>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4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t>附件5：辐射事故处理结果报告表</w:t>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4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t>附件6：天宁区现有辐射装置应用单位名录</w:t>
      </w:r>
    </w:p>
    <w:p>
      <w:pPr>
        <w:pStyle w:val="17"/>
        <w:keepNext w:val="0"/>
        <w:keepLines w:val="0"/>
        <w:pageBreakBefore w:val="0"/>
        <w:widowControl w:val="0"/>
        <w:kinsoku/>
        <w:wordWrap/>
        <w:overflowPunct/>
        <w:topLinePunct w:val="0"/>
        <w:autoSpaceDE/>
        <w:autoSpaceDN/>
        <w:bidi w:val="0"/>
        <w:adjustRightInd/>
        <w:snapToGrid/>
        <w:spacing w:before="0" w:after="0" w:line="540" w:lineRule="exact"/>
        <w:jc w:val="both"/>
        <w:textAlignment w:val="auto"/>
        <w:rPr>
          <w:rFonts w:ascii="Times New Roman" w:hAnsi="Times New Roman" w:eastAsia="方正黑体_GBK" w:cs="Times New Roman"/>
          <w:b w:val="0"/>
          <w:bCs w:val="0"/>
          <w:caps/>
          <w:kern w:val="2"/>
          <w:sz w:val="32"/>
          <w:szCs w:val="32"/>
          <w:lang w:val="en-US" w:eastAsia="zh-CN" w:bidi="ar-SA"/>
        </w:rPr>
      </w:pPr>
      <w:r>
        <w:rPr>
          <w:rFonts w:ascii="Times New Roman" w:hAnsi="Times New Roman" w:eastAsia="方正黑体_GBK" w:cs="Times New Roman"/>
          <w:b w:val="0"/>
          <w:bCs w:val="0"/>
          <w:caps/>
          <w:kern w:val="2"/>
          <w:sz w:val="32"/>
          <w:szCs w:val="32"/>
          <w:lang w:val="en-US" w:eastAsia="zh-CN" w:bidi="ar-SA"/>
        </w:rPr>
        <w:t>附图目录</w:t>
      </w:r>
    </w:p>
    <w:p>
      <w:pPr>
        <w:pStyle w:val="2"/>
        <w:keepNext w:val="0"/>
        <w:keepLines w:val="0"/>
        <w:pageBreakBefore w:val="0"/>
        <w:widowControl w:val="0"/>
        <w:tabs>
          <w:tab w:val="right" w:leader="dot" w:pos="8296"/>
        </w:tabs>
        <w:kinsoku/>
        <w:wordWrap/>
        <w:overflowPunct/>
        <w:topLinePunct w:val="0"/>
        <w:autoSpaceDE/>
        <w:autoSpaceDN/>
        <w:bidi w:val="0"/>
        <w:adjustRightInd/>
        <w:snapToGrid/>
        <w:spacing w:line="540" w:lineRule="exact"/>
        <w:ind w:left="0" w:firstLine="487" w:firstLineChars="150"/>
        <w:jc w:val="both"/>
        <w:textAlignment w:val="auto"/>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t>附图1：天宁区重点辐射装置应用单位分布图</w:t>
      </w:r>
    </w:p>
    <w:p>
      <w:pPr>
        <w:spacing w:line="500" w:lineRule="exact"/>
        <w:rPr>
          <w:rFonts w:eastAsia="仿宋_GB2312"/>
          <w:b/>
          <w:bCs/>
          <w:caps/>
          <w:sz w:val="28"/>
          <w:szCs w:val="30"/>
          <w:highlight w:val="yellow"/>
        </w:rPr>
      </w:pPr>
    </w:p>
    <w:p>
      <w:pPr>
        <w:spacing w:line="500" w:lineRule="exact"/>
        <w:rPr>
          <w:rFonts w:eastAsia="仿宋_GB2312"/>
          <w:b/>
          <w:bCs/>
          <w:caps/>
          <w:sz w:val="28"/>
          <w:szCs w:val="30"/>
          <w:highlight w:val="yellow"/>
        </w:rPr>
      </w:pPr>
    </w:p>
    <w:p>
      <w:pPr>
        <w:spacing w:line="500" w:lineRule="exact"/>
        <w:rPr>
          <w:rFonts w:eastAsia="仿宋_GB2312"/>
          <w:b/>
          <w:bCs/>
          <w:caps/>
          <w:sz w:val="28"/>
          <w:szCs w:val="30"/>
          <w:highlight w:val="yellow"/>
        </w:rPr>
      </w:pPr>
    </w:p>
    <w:p>
      <w:pPr>
        <w:spacing w:line="500" w:lineRule="exact"/>
        <w:rPr>
          <w:rFonts w:eastAsia="仿宋_GB2312"/>
          <w:b/>
          <w:bCs/>
          <w:caps/>
          <w:sz w:val="28"/>
          <w:szCs w:val="30"/>
          <w:highlight w:val="yellow"/>
        </w:rPr>
      </w:pPr>
    </w:p>
    <w:p>
      <w:pPr>
        <w:spacing w:line="500" w:lineRule="exact"/>
        <w:rPr>
          <w:rFonts w:eastAsia="仿宋_GB2312"/>
          <w:b/>
          <w:bCs/>
          <w:caps/>
          <w:sz w:val="28"/>
          <w:szCs w:val="30"/>
          <w:highlight w:val="yellow"/>
        </w:rPr>
      </w:pPr>
    </w:p>
    <w:p>
      <w:pPr>
        <w:spacing w:line="500" w:lineRule="exact"/>
        <w:rPr>
          <w:rFonts w:eastAsia="仿宋_GB2312"/>
          <w:b/>
          <w:bCs/>
          <w:caps/>
          <w:sz w:val="28"/>
          <w:szCs w:val="30"/>
          <w:highlight w:val="yellow"/>
        </w:rPr>
      </w:pPr>
    </w:p>
    <w:p>
      <w:pPr>
        <w:spacing w:line="500" w:lineRule="exact"/>
        <w:rPr>
          <w:rFonts w:eastAsia="仿宋_GB2312"/>
          <w:b/>
          <w:bCs/>
          <w:caps/>
          <w:sz w:val="28"/>
          <w:szCs w:val="30"/>
          <w:highlight w:val="yellow"/>
        </w:rPr>
      </w:pPr>
    </w:p>
    <w:p>
      <w:pPr>
        <w:spacing w:line="500" w:lineRule="exact"/>
        <w:rPr>
          <w:rFonts w:eastAsia="仿宋_GB2312"/>
          <w:b/>
          <w:bCs/>
          <w:caps/>
          <w:sz w:val="28"/>
          <w:szCs w:val="30"/>
          <w:highlight w:val="yellow"/>
        </w:rPr>
      </w:pPr>
    </w:p>
    <w:p>
      <w:pPr>
        <w:pStyle w:val="45"/>
        <w:keepNext w:val="0"/>
        <w:keepLines w:val="0"/>
        <w:pageBreakBefore w:val="0"/>
        <w:widowControl w:val="0"/>
        <w:kinsoku/>
        <w:wordWrap/>
        <w:overflowPunct/>
        <w:topLinePunct w:val="0"/>
        <w:autoSpaceDE/>
        <w:autoSpaceDN/>
        <w:bidi w:val="0"/>
        <w:adjustRightInd/>
        <w:snapToGrid/>
        <w:spacing w:line="570" w:lineRule="exact"/>
        <w:textAlignment w:val="auto"/>
        <w:rPr>
          <w:rFonts w:eastAsia="方正黑体_GBK"/>
          <w:b w:val="0"/>
          <w:bCs w:val="0"/>
        </w:rPr>
        <w:sectPr>
          <w:headerReference r:id="rId3" w:type="default"/>
          <w:footerReference r:id="rId4" w:type="default"/>
          <w:pgSz w:w="11906" w:h="16838"/>
          <w:pgMar w:top="2098" w:right="1531" w:bottom="1984" w:left="1531" w:header="709" w:footer="1361" w:gutter="0"/>
          <w:pgNumType w:fmt="decimal" w:start="1"/>
          <w:cols w:space="720" w:num="1"/>
          <w:docGrid w:type="linesAndChars" w:linePitch="634" w:charSpace="1223"/>
        </w:sectPr>
      </w:pPr>
      <w:bookmarkStart w:id="0" w:name="_Toc448704208"/>
      <w:bookmarkStart w:id="1" w:name="_Toc86220842"/>
    </w:p>
    <w:p>
      <w:pPr>
        <w:pStyle w:val="45"/>
        <w:keepNext w:val="0"/>
        <w:keepLines w:val="0"/>
        <w:pageBreakBefore w:val="0"/>
        <w:widowControl w:val="0"/>
        <w:kinsoku/>
        <w:wordWrap/>
        <w:overflowPunct/>
        <w:topLinePunct w:val="0"/>
        <w:autoSpaceDE/>
        <w:autoSpaceDN/>
        <w:bidi w:val="0"/>
        <w:adjustRightInd/>
        <w:snapToGrid/>
        <w:spacing w:line="570" w:lineRule="exact"/>
        <w:textAlignment w:val="auto"/>
        <w:rPr>
          <w:rFonts w:eastAsia="方正黑体_GBK"/>
          <w:b w:val="0"/>
          <w:bCs w:val="0"/>
        </w:rPr>
      </w:pPr>
      <w:r>
        <w:rPr>
          <w:rFonts w:eastAsia="方正黑体_GBK"/>
          <w:b w:val="0"/>
          <w:bCs w:val="0"/>
        </w:rPr>
        <w:t>1</w:t>
      </w:r>
      <w:r>
        <w:rPr>
          <w:rFonts w:hint="eastAsia" w:eastAsia="方正黑体_GBK"/>
          <w:b w:val="0"/>
          <w:bCs w:val="0"/>
          <w:lang w:val="en-US" w:eastAsia="zh-CN"/>
        </w:rPr>
        <w:t>.</w:t>
      </w:r>
      <w:r>
        <w:rPr>
          <w:rFonts w:hint="eastAsia" w:eastAsia="方正黑体_GBK"/>
          <w:b w:val="0"/>
          <w:bCs w:val="0"/>
          <w:lang w:eastAsia="zh-CN"/>
        </w:rPr>
        <w:t>　</w:t>
      </w:r>
      <w:r>
        <w:rPr>
          <w:rFonts w:eastAsia="方正黑体_GBK"/>
          <w:b w:val="0"/>
          <w:bCs w:val="0"/>
        </w:rPr>
        <w:t>总则</w:t>
      </w:r>
      <w:bookmarkEnd w:id="0"/>
      <w:bookmarkEnd w:id="1"/>
    </w:p>
    <w:p>
      <w:pPr>
        <w:pStyle w:val="46"/>
        <w:keepNext w:val="0"/>
        <w:keepLines w:val="0"/>
        <w:pageBreakBefore w:val="0"/>
        <w:widowControl w:val="0"/>
        <w:kinsoku/>
        <w:wordWrap/>
        <w:overflowPunct/>
        <w:topLinePunct w:val="0"/>
        <w:autoSpaceDE/>
        <w:autoSpaceDN/>
        <w:bidi w:val="0"/>
        <w:adjustRightInd/>
        <w:snapToGrid/>
        <w:spacing w:line="570" w:lineRule="exact"/>
        <w:textAlignment w:val="auto"/>
        <w:rPr>
          <w:rFonts w:eastAsia="方正仿宋_GBK"/>
        </w:rPr>
      </w:pPr>
      <w:bookmarkStart w:id="2" w:name="_Toc448704209"/>
      <w:bookmarkStart w:id="3" w:name="_Toc86220843"/>
      <w:r>
        <w:rPr>
          <w:rFonts w:eastAsia="方正楷体_GBK"/>
          <w:b w:val="0"/>
          <w:bCs w:val="0"/>
        </w:rPr>
        <w:t>1.1</w:t>
      </w:r>
      <w:r>
        <w:rPr>
          <w:rFonts w:hint="eastAsia" w:eastAsia="方正楷体_GBK"/>
          <w:b w:val="0"/>
          <w:bCs w:val="0"/>
          <w:lang w:eastAsia="zh-CN"/>
        </w:rPr>
        <w:t>　</w:t>
      </w:r>
      <w:r>
        <w:rPr>
          <w:rFonts w:eastAsia="方正楷体_GBK"/>
          <w:b w:val="0"/>
          <w:bCs w:val="0"/>
        </w:rPr>
        <w:t>编制目的</w:t>
      </w:r>
      <w:bookmarkEnd w:id="2"/>
      <w:bookmarkEnd w:id="3"/>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为高效有序地做好我区的核与辐射事故的预防和应急救援工作，健全辐射事故应对工作机制，科学有序高效应对辐射事故，保障人民群众生命财产安全和环境安全，维护社会稳定，特制定本预案。</w:t>
      </w:r>
    </w:p>
    <w:p>
      <w:pPr>
        <w:pStyle w:val="46"/>
        <w:keepNext w:val="0"/>
        <w:keepLines w:val="0"/>
        <w:pageBreakBefore w:val="0"/>
        <w:widowControl w:val="0"/>
        <w:kinsoku/>
        <w:wordWrap/>
        <w:overflowPunct/>
        <w:autoSpaceDE/>
        <w:autoSpaceDN/>
        <w:bidi w:val="0"/>
        <w:snapToGrid/>
        <w:spacing w:line="570" w:lineRule="exact"/>
        <w:textAlignment w:val="auto"/>
        <w:rPr>
          <w:rFonts w:eastAsia="方正仿宋_GBK"/>
        </w:rPr>
      </w:pPr>
      <w:bookmarkStart w:id="4" w:name="_Toc86220844"/>
      <w:bookmarkStart w:id="5" w:name="_Toc448704210"/>
      <w:r>
        <w:rPr>
          <w:rFonts w:eastAsia="方正楷体_GBK"/>
          <w:b w:val="0"/>
          <w:bCs w:val="0"/>
        </w:rPr>
        <w:t>1.2</w:t>
      </w:r>
      <w:r>
        <w:rPr>
          <w:rFonts w:hint="eastAsia" w:eastAsia="方正楷体_GBK"/>
          <w:b w:val="0"/>
          <w:bCs w:val="0"/>
          <w:lang w:eastAsia="zh-CN"/>
        </w:rPr>
        <w:t>　</w:t>
      </w:r>
      <w:r>
        <w:rPr>
          <w:rFonts w:eastAsia="方正楷体_GBK"/>
          <w:b w:val="0"/>
          <w:bCs w:val="0"/>
        </w:rPr>
        <w:t>编制依据</w:t>
      </w:r>
      <w:bookmarkEnd w:id="4"/>
      <w:bookmarkEnd w:id="5"/>
    </w:p>
    <w:p>
      <w:pPr>
        <w:keepNext w:val="0"/>
        <w:keepLines w:val="0"/>
        <w:pageBreakBefore w:val="0"/>
        <w:widowControl w:val="0"/>
        <w:numPr>
          <w:ilvl w:val="0"/>
          <w:numId w:val="0"/>
        </w:numPr>
        <w:kinsoku/>
        <w:wordWrap/>
        <w:overflowPunct/>
        <w:topLinePunct w:val="0"/>
        <w:autoSpaceDE/>
        <w:autoSpaceDN/>
        <w:bidi w:val="0"/>
        <w:adjustRightInd/>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《中华人民共和国环境保护法》</w:t>
      </w:r>
    </w:p>
    <w:p>
      <w:pPr>
        <w:keepNext w:val="0"/>
        <w:keepLines w:val="0"/>
        <w:pageBreakBefore w:val="0"/>
        <w:widowControl w:val="0"/>
        <w:numPr>
          <w:ilvl w:val="0"/>
          <w:numId w:val="0"/>
        </w:numPr>
        <w:kinsoku/>
        <w:wordWrap/>
        <w:overflowPunct/>
        <w:topLinePunct w:val="0"/>
        <w:autoSpaceDE/>
        <w:autoSpaceDN/>
        <w:bidi w:val="0"/>
        <w:adjustRightInd/>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《中华人民共和国突发事件应对法》</w:t>
      </w:r>
    </w:p>
    <w:p>
      <w:pPr>
        <w:keepNext w:val="0"/>
        <w:keepLines w:val="0"/>
        <w:pageBreakBefore w:val="0"/>
        <w:widowControl w:val="0"/>
        <w:numPr>
          <w:ilvl w:val="0"/>
          <w:numId w:val="0"/>
        </w:numPr>
        <w:kinsoku/>
        <w:wordWrap/>
        <w:overflowPunct/>
        <w:topLinePunct w:val="0"/>
        <w:autoSpaceDE/>
        <w:autoSpaceDN/>
        <w:bidi w:val="0"/>
        <w:adjustRightInd/>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sz w:val="32"/>
          <w:szCs w:val="32"/>
        </w:rPr>
        <w:t>《中华人民共和国放射性污染防治法》</w:t>
      </w:r>
    </w:p>
    <w:p>
      <w:pPr>
        <w:keepNext w:val="0"/>
        <w:keepLines w:val="0"/>
        <w:pageBreakBefore w:val="0"/>
        <w:widowControl w:val="0"/>
        <w:numPr>
          <w:ilvl w:val="0"/>
          <w:numId w:val="0"/>
        </w:numPr>
        <w:kinsoku/>
        <w:wordWrap/>
        <w:overflowPunct/>
        <w:topLinePunct w:val="0"/>
        <w:autoSpaceDE/>
        <w:autoSpaceDN/>
        <w:bidi w:val="0"/>
        <w:adjustRightInd/>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4</w:t>
      </w:r>
      <w:r>
        <w:rPr>
          <w:rFonts w:hint="eastAsia" w:eastAsia="方正仿宋_GBK"/>
          <w:sz w:val="32"/>
          <w:szCs w:val="32"/>
          <w:lang w:eastAsia="zh-CN"/>
        </w:rPr>
        <w:t>）</w:t>
      </w:r>
      <w:r>
        <w:rPr>
          <w:rFonts w:eastAsia="方正仿宋_GBK"/>
          <w:sz w:val="32"/>
          <w:szCs w:val="32"/>
        </w:rPr>
        <w:t>《放射性同位素与射线装置安全和防护条例》</w:t>
      </w:r>
    </w:p>
    <w:p>
      <w:pPr>
        <w:keepNext w:val="0"/>
        <w:keepLines w:val="0"/>
        <w:pageBreakBefore w:val="0"/>
        <w:widowControl w:val="0"/>
        <w:numPr>
          <w:ilvl w:val="0"/>
          <w:numId w:val="0"/>
        </w:numPr>
        <w:kinsoku/>
        <w:wordWrap/>
        <w:overflowPunct/>
        <w:topLinePunct w:val="0"/>
        <w:autoSpaceDE/>
        <w:autoSpaceDN/>
        <w:bidi w:val="0"/>
        <w:adjustRightInd/>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5</w:t>
      </w:r>
      <w:r>
        <w:rPr>
          <w:rFonts w:hint="eastAsia" w:eastAsia="方正仿宋_GBK"/>
          <w:sz w:val="32"/>
          <w:szCs w:val="32"/>
          <w:lang w:eastAsia="zh-CN"/>
        </w:rPr>
        <w:t>）</w:t>
      </w:r>
      <w:r>
        <w:rPr>
          <w:rFonts w:eastAsia="方正仿宋_GBK"/>
          <w:sz w:val="32"/>
          <w:szCs w:val="32"/>
        </w:rPr>
        <w:t>《放射性同位素与射线装置安全和防护管理办法》</w:t>
      </w:r>
    </w:p>
    <w:p>
      <w:pPr>
        <w:keepNext w:val="0"/>
        <w:keepLines w:val="0"/>
        <w:pageBreakBefore w:val="0"/>
        <w:widowControl w:val="0"/>
        <w:numPr>
          <w:ilvl w:val="0"/>
          <w:numId w:val="0"/>
        </w:numPr>
        <w:kinsoku/>
        <w:wordWrap/>
        <w:overflowPunct/>
        <w:topLinePunct w:val="0"/>
        <w:autoSpaceDE/>
        <w:autoSpaceDN/>
        <w:bidi w:val="0"/>
        <w:adjustRightInd/>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6</w:t>
      </w:r>
      <w:r>
        <w:rPr>
          <w:rFonts w:hint="eastAsia" w:eastAsia="方正仿宋_GBK"/>
          <w:sz w:val="32"/>
          <w:szCs w:val="32"/>
          <w:lang w:eastAsia="zh-CN"/>
        </w:rPr>
        <w:t>）</w:t>
      </w:r>
      <w:r>
        <w:rPr>
          <w:rFonts w:eastAsia="方正仿宋_GBK"/>
          <w:sz w:val="32"/>
          <w:szCs w:val="32"/>
        </w:rPr>
        <w:t>《</w:t>
      </w:r>
      <w:r>
        <w:rPr>
          <w:rFonts w:hint="eastAsia" w:eastAsia="方正仿宋_GBK"/>
          <w:sz w:val="32"/>
          <w:szCs w:val="32"/>
        </w:rPr>
        <w:t>生态环境部(国家核安全局)核与辐射事故应急相关预案及实施方案</w:t>
      </w:r>
      <w:r>
        <w:rPr>
          <w:rFonts w:eastAsia="方正仿宋_GBK"/>
          <w:sz w:val="32"/>
          <w:szCs w:val="32"/>
        </w:rPr>
        <w:t>》</w:t>
      </w:r>
    </w:p>
    <w:p>
      <w:pPr>
        <w:keepNext w:val="0"/>
        <w:keepLines w:val="0"/>
        <w:pageBreakBefore w:val="0"/>
        <w:widowControl w:val="0"/>
        <w:numPr>
          <w:ilvl w:val="0"/>
          <w:numId w:val="0"/>
        </w:numPr>
        <w:kinsoku/>
        <w:wordWrap/>
        <w:overflowPunct/>
        <w:topLinePunct w:val="0"/>
        <w:autoSpaceDE/>
        <w:autoSpaceDN/>
        <w:bidi w:val="0"/>
        <w:adjustRightInd/>
        <w:snapToGrid/>
        <w:spacing w:line="570" w:lineRule="exact"/>
        <w:ind w:leftChars="0" w:firstLine="650" w:firstLineChars="200"/>
        <w:jc w:val="distribute"/>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7</w:t>
      </w:r>
      <w:r>
        <w:rPr>
          <w:rFonts w:hint="eastAsia" w:eastAsia="方正仿宋_GBK"/>
          <w:sz w:val="32"/>
          <w:szCs w:val="32"/>
          <w:lang w:eastAsia="zh-CN"/>
        </w:rPr>
        <w:t>）</w:t>
      </w:r>
      <w:r>
        <w:rPr>
          <w:rFonts w:eastAsia="方正仿宋_GBK"/>
          <w:sz w:val="32"/>
          <w:szCs w:val="32"/>
        </w:rPr>
        <w:t>《江</w:t>
      </w:r>
      <w:r>
        <w:rPr>
          <w:rFonts w:ascii="Times New Roman" w:hAnsi="Times New Roman" w:eastAsia="方正仿宋_GBK" w:cs="Times New Roman"/>
          <w:spacing w:val="-20"/>
          <w:kern w:val="2"/>
          <w:sz w:val="32"/>
          <w:szCs w:val="32"/>
          <w:lang w:val="en-US" w:eastAsia="zh-CN" w:bidi="ar-SA"/>
        </w:rPr>
        <w:t>苏省实施〈中华人民共和国突发事件应对法〉办法》</w:t>
      </w:r>
    </w:p>
    <w:p>
      <w:pPr>
        <w:keepNext w:val="0"/>
        <w:keepLines w:val="0"/>
        <w:pageBreakBefore w:val="0"/>
        <w:widowControl w:val="0"/>
        <w:numPr>
          <w:ilvl w:val="0"/>
          <w:numId w:val="0"/>
        </w:numPr>
        <w:kinsoku/>
        <w:wordWrap/>
        <w:overflowPunct/>
        <w:topLinePunct w:val="0"/>
        <w:autoSpaceDE/>
        <w:autoSpaceDN/>
        <w:bidi w:val="0"/>
        <w:adjustRightInd/>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8</w:t>
      </w:r>
      <w:r>
        <w:rPr>
          <w:rFonts w:hint="eastAsia" w:eastAsia="方正仿宋_GBK"/>
          <w:sz w:val="32"/>
          <w:szCs w:val="32"/>
          <w:lang w:eastAsia="zh-CN"/>
        </w:rPr>
        <w:t>）</w:t>
      </w:r>
      <w:r>
        <w:rPr>
          <w:rFonts w:eastAsia="方正仿宋_GBK"/>
          <w:sz w:val="32"/>
          <w:szCs w:val="32"/>
        </w:rPr>
        <w:t>《江苏省辐射污染防治条例》</w:t>
      </w:r>
    </w:p>
    <w:p>
      <w:pPr>
        <w:keepNext w:val="0"/>
        <w:keepLines w:val="0"/>
        <w:pageBreakBefore w:val="0"/>
        <w:widowControl w:val="0"/>
        <w:numPr>
          <w:ilvl w:val="0"/>
          <w:numId w:val="0"/>
        </w:numPr>
        <w:kinsoku/>
        <w:wordWrap/>
        <w:overflowPunct/>
        <w:topLinePunct w:val="0"/>
        <w:autoSpaceDE/>
        <w:autoSpaceDN/>
        <w:bidi w:val="0"/>
        <w:adjustRightInd/>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9</w:t>
      </w:r>
      <w:r>
        <w:rPr>
          <w:rFonts w:hint="eastAsia" w:eastAsia="方正仿宋_GBK"/>
          <w:sz w:val="32"/>
          <w:szCs w:val="32"/>
          <w:lang w:eastAsia="zh-CN"/>
        </w:rPr>
        <w:t>）</w:t>
      </w:r>
      <w:r>
        <w:rPr>
          <w:rFonts w:eastAsia="方正仿宋_GBK"/>
          <w:sz w:val="32"/>
          <w:szCs w:val="32"/>
        </w:rPr>
        <w:t>《江苏省辐射事故应急预案》</w:t>
      </w:r>
    </w:p>
    <w:p>
      <w:pPr>
        <w:keepNext w:val="0"/>
        <w:keepLines w:val="0"/>
        <w:pageBreakBefore w:val="0"/>
        <w:widowControl w:val="0"/>
        <w:numPr>
          <w:ilvl w:val="0"/>
          <w:numId w:val="0"/>
        </w:numPr>
        <w:kinsoku/>
        <w:wordWrap/>
        <w:overflowPunct/>
        <w:topLinePunct w:val="0"/>
        <w:autoSpaceDE/>
        <w:autoSpaceDN/>
        <w:bidi w:val="0"/>
        <w:adjustRightInd/>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10</w:t>
      </w:r>
      <w:r>
        <w:rPr>
          <w:rFonts w:hint="eastAsia" w:eastAsia="方正仿宋_GBK"/>
          <w:sz w:val="32"/>
          <w:szCs w:val="32"/>
          <w:lang w:eastAsia="zh-CN"/>
        </w:rPr>
        <w:t>）</w:t>
      </w:r>
      <w:r>
        <w:rPr>
          <w:rFonts w:eastAsia="方正仿宋_GBK"/>
          <w:sz w:val="32"/>
          <w:szCs w:val="32"/>
        </w:rPr>
        <w:t>《常州市突发事件总体应急预案》</w:t>
      </w:r>
    </w:p>
    <w:p>
      <w:pPr>
        <w:keepNext w:val="0"/>
        <w:keepLines w:val="0"/>
        <w:pageBreakBefore w:val="0"/>
        <w:widowControl w:val="0"/>
        <w:numPr>
          <w:ilvl w:val="0"/>
          <w:numId w:val="0"/>
        </w:numPr>
        <w:kinsoku/>
        <w:wordWrap/>
        <w:overflowPunct/>
        <w:topLinePunct w:val="0"/>
        <w:autoSpaceDE/>
        <w:autoSpaceDN/>
        <w:bidi w:val="0"/>
        <w:adjustRightInd/>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11</w:t>
      </w:r>
      <w:r>
        <w:rPr>
          <w:rFonts w:hint="eastAsia" w:eastAsia="方正仿宋_GBK"/>
          <w:sz w:val="32"/>
          <w:szCs w:val="32"/>
          <w:lang w:eastAsia="zh-CN"/>
        </w:rPr>
        <w:t>）</w:t>
      </w:r>
      <w:r>
        <w:rPr>
          <w:rFonts w:eastAsia="方正仿宋_GBK"/>
          <w:sz w:val="32"/>
          <w:szCs w:val="32"/>
        </w:rPr>
        <w:t>《常州市突发环境事件应急预案》</w:t>
      </w:r>
    </w:p>
    <w:p>
      <w:pPr>
        <w:keepNext w:val="0"/>
        <w:keepLines w:val="0"/>
        <w:pageBreakBefore w:val="0"/>
        <w:widowControl w:val="0"/>
        <w:numPr>
          <w:ilvl w:val="0"/>
          <w:numId w:val="0"/>
        </w:numPr>
        <w:kinsoku/>
        <w:wordWrap/>
        <w:overflowPunct/>
        <w:topLinePunct w:val="0"/>
        <w:autoSpaceDE/>
        <w:autoSpaceDN/>
        <w:bidi w:val="0"/>
        <w:adjustRightInd/>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12</w:t>
      </w:r>
      <w:r>
        <w:rPr>
          <w:rFonts w:hint="eastAsia" w:eastAsia="方正仿宋_GBK"/>
          <w:sz w:val="32"/>
          <w:szCs w:val="32"/>
          <w:lang w:eastAsia="zh-CN"/>
        </w:rPr>
        <w:t>）</w:t>
      </w:r>
      <w:r>
        <w:rPr>
          <w:rFonts w:eastAsia="方正仿宋_GBK"/>
          <w:sz w:val="32"/>
          <w:szCs w:val="32"/>
        </w:rPr>
        <w:t>《常州市辐射事故应急预案》</w:t>
      </w:r>
    </w:p>
    <w:p>
      <w:pPr>
        <w:keepNext w:val="0"/>
        <w:keepLines w:val="0"/>
        <w:pageBreakBefore w:val="0"/>
        <w:widowControl w:val="0"/>
        <w:numPr>
          <w:ilvl w:val="0"/>
          <w:numId w:val="0"/>
        </w:numPr>
        <w:kinsoku/>
        <w:wordWrap/>
        <w:overflowPunct/>
        <w:topLinePunct w:val="0"/>
        <w:autoSpaceDE/>
        <w:autoSpaceDN/>
        <w:bidi w:val="0"/>
        <w:adjustRightInd/>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13</w:t>
      </w:r>
      <w:r>
        <w:rPr>
          <w:rFonts w:hint="eastAsia" w:eastAsia="方正仿宋_GBK"/>
          <w:sz w:val="32"/>
          <w:szCs w:val="32"/>
          <w:lang w:eastAsia="zh-CN"/>
        </w:rPr>
        <w:t>）</w:t>
      </w:r>
      <w:r>
        <w:rPr>
          <w:rFonts w:eastAsia="方正仿宋_GBK"/>
          <w:sz w:val="32"/>
          <w:szCs w:val="32"/>
        </w:rPr>
        <w:t>《常州市天宁区突发事件总体应急预案》</w:t>
      </w:r>
    </w:p>
    <w:p>
      <w:pPr>
        <w:pStyle w:val="46"/>
        <w:keepNext w:val="0"/>
        <w:keepLines w:val="0"/>
        <w:pageBreakBefore w:val="0"/>
        <w:widowControl w:val="0"/>
        <w:kinsoku/>
        <w:wordWrap/>
        <w:overflowPunct/>
        <w:autoSpaceDE/>
        <w:autoSpaceDN/>
        <w:bidi w:val="0"/>
        <w:snapToGrid/>
        <w:spacing w:line="570" w:lineRule="exact"/>
        <w:textAlignment w:val="auto"/>
        <w:rPr>
          <w:rFonts w:eastAsia="方正楷体_GBK"/>
          <w:b w:val="0"/>
          <w:bCs w:val="0"/>
        </w:rPr>
      </w:pPr>
      <w:bookmarkStart w:id="6" w:name="_Toc448704211"/>
      <w:bookmarkStart w:id="7" w:name="_Toc86220845"/>
      <w:r>
        <w:rPr>
          <w:rFonts w:eastAsia="方正楷体_GBK"/>
          <w:b w:val="0"/>
          <w:bCs w:val="0"/>
        </w:rPr>
        <w:t>1.3</w:t>
      </w:r>
      <w:r>
        <w:rPr>
          <w:rFonts w:hint="eastAsia" w:eastAsia="方正楷体_GBK"/>
          <w:b w:val="0"/>
          <w:bCs w:val="0"/>
          <w:lang w:eastAsia="zh-CN"/>
        </w:rPr>
        <w:t>　</w:t>
      </w:r>
      <w:r>
        <w:rPr>
          <w:rFonts w:eastAsia="方正楷体_GBK"/>
          <w:b w:val="0"/>
          <w:bCs w:val="0"/>
        </w:rPr>
        <w:t>适用范围</w:t>
      </w:r>
      <w:bookmarkEnd w:id="6"/>
      <w:bookmarkEnd w:id="7"/>
    </w:p>
    <w:p>
      <w:pPr>
        <w:keepNext w:val="0"/>
        <w:keepLines w:val="0"/>
        <w:pageBreakBefore w:val="0"/>
        <w:widowControl w:val="0"/>
        <w:kinsoku/>
        <w:wordWrap/>
        <w:overflowPunct/>
        <w:topLinePunct w:val="0"/>
        <w:autoSpaceDE/>
        <w:autoSpaceDN/>
        <w:bidi w:val="0"/>
        <w:adjustRightInd/>
        <w:snapToGrid/>
        <w:spacing w:line="570" w:lineRule="exact"/>
        <w:ind w:left="0" w:firstLine="650" w:firstLineChars="200"/>
        <w:jc w:val="both"/>
        <w:textAlignment w:val="auto"/>
        <w:rPr>
          <w:rFonts w:eastAsia="方正仿宋_GBK"/>
          <w:sz w:val="32"/>
          <w:szCs w:val="32"/>
        </w:rPr>
      </w:pPr>
      <w:r>
        <w:rPr>
          <w:rFonts w:eastAsia="方正仿宋_GBK"/>
          <w:sz w:val="32"/>
          <w:szCs w:val="32"/>
        </w:rPr>
        <w:t>本</w:t>
      </w:r>
      <w:r>
        <w:rPr>
          <w:rFonts w:eastAsia="方正仿宋_GBK"/>
          <w:spacing w:val="-6"/>
          <w:sz w:val="32"/>
          <w:szCs w:val="32"/>
        </w:rPr>
        <w:t>预案适用于常州市天宁区行政区域内辐射事故应对工作。</w:t>
      </w:r>
    </w:p>
    <w:p>
      <w:pPr>
        <w:keepNext w:val="0"/>
        <w:keepLines w:val="0"/>
        <w:pageBreakBefore w:val="0"/>
        <w:widowControl w:val="0"/>
        <w:kinsoku/>
        <w:wordWrap/>
        <w:overflowPunct/>
        <w:topLinePunct w:val="0"/>
        <w:autoSpaceDE/>
        <w:autoSpaceDN/>
        <w:bidi w:val="0"/>
        <w:adjustRightInd/>
        <w:snapToGrid/>
        <w:spacing w:line="570" w:lineRule="exact"/>
        <w:ind w:left="0" w:firstLine="650" w:firstLineChars="200"/>
        <w:textAlignment w:val="auto"/>
        <w:rPr>
          <w:rFonts w:eastAsia="方正仿宋_GBK"/>
          <w:sz w:val="32"/>
          <w:szCs w:val="32"/>
        </w:rPr>
      </w:pPr>
      <w:r>
        <w:rPr>
          <w:rFonts w:eastAsia="方正仿宋_GBK"/>
          <w:sz w:val="32"/>
          <w:szCs w:val="32"/>
        </w:rPr>
        <w:t>辐射事故主要指除核事故以外，因放射性物质丢失、被盗、失控，或者放射性物质造成人员受到意外的异常照射或环境辐射污染后果的事件。主要包括：</w:t>
      </w:r>
    </w:p>
    <w:p>
      <w:pPr>
        <w:pStyle w:val="44"/>
        <w:keepNext w:val="0"/>
        <w:keepLines w:val="0"/>
        <w:pageBreakBefore w:val="0"/>
        <w:widowControl w:val="0"/>
        <w:numPr>
          <w:ilvl w:val="0"/>
          <w:numId w:val="0"/>
        </w:numPr>
        <w:kinsoku/>
        <w:wordWrap/>
        <w:overflowPunct/>
        <w:topLinePunct w:val="0"/>
        <w:autoSpaceDE/>
        <w:autoSpaceDN/>
        <w:bidi w:val="0"/>
        <w:adjustRightInd/>
        <w:snapToGrid/>
        <w:spacing w:line="570" w:lineRule="exact"/>
        <w:ind w:left="0"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核技术利用中发生的辐射事故；</w:t>
      </w:r>
    </w:p>
    <w:p>
      <w:pPr>
        <w:pStyle w:val="44"/>
        <w:keepNext w:val="0"/>
        <w:keepLines w:val="0"/>
        <w:pageBreakBefore w:val="0"/>
        <w:widowControl w:val="0"/>
        <w:numPr>
          <w:ilvl w:val="0"/>
          <w:numId w:val="0"/>
        </w:numPr>
        <w:kinsoku/>
        <w:wordWrap/>
        <w:overflowPunct/>
        <w:topLinePunct w:val="0"/>
        <w:autoSpaceDE/>
        <w:autoSpaceDN/>
        <w:bidi w:val="0"/>
        <w:adjustRightInd/>
        <w:snapToGrid/>
        <w:spacing w:line="570" w:lineRule="exact"/>
        <w:ind w:left="0"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放射性废物处理、处置设施发生的辐射事故；</w:t>
      </w:r>
    </w:p>
    <w:p>
      <w:pPr>
        <w:pStyle w:val="44"/>
        <w:keepNext w:val="0"/>
        <w:keepLines w:val="0"/>
        <w:pageBreakBefore w:val="0"/>
        <w:widowControl w:val="0"/>
        <w:numPr>
          <w:ilvl w:val="0"/>
          <w:numId w:val="0"/>
        </w:numPr>
        <w:kinsoku/>
        <w:wordWrap/>
        <w:overflowPunct/>
        <w:topLinePunct w:val="0"/>
        <w:autoSpaceDE/>
        <w:autoSpaceDN/>
        <w:bidi w:val="0"/>
        <w:adjustRightInd/>
        <w:snapToGrid/>
        <w:spacing w:line="570" w:lineRule="exact"/>
        <w:ind w:left="0"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sz w:val="32"/>
          <w:szCs w:val="32"/>
        </w:rPr>
        <w:t>放射性物质运输中发生的事故；</w:t>
      </w:r>
    </w:p>
    <w:p>
      <w:pPr>
        <w:pStyle w:val="44"/>
        <w:keepNext w:val="0"/>
        <w:keepLines w:val="0"/>
        <w:pageBreakBefore w:val="0"/>
        <w:widowControl w:val="0"/>
        <w:numPr>
          <w:ilvl w:val="0"/>
          <w:numId w:val="0"/>
        </w:numPr>
        <w:kinsoku/>
        <w:wordWrap/>
        <w:overflowPunct/>
        <w:topLinePunct w:val="0"/>
        <w:autoSpaceDE/>
        <w:autoSpaceDN/>
        <w:bidi w:val="0"/>
        <w:adjustRightInd/>
        <w:snapToGrid/>
        <w:spacing w:line="570" w:lineRule="exact"/>
        <w:ind w:left="0" w:leftChars="0" w:firstLine="650" w:firstLineChars="200"/>
        <w:jc w:val="distribute"/>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4</w:t>
      </w:r>
      <w:r>
        <w:rPr>
          <w:rFonts w:hint="eastAsia" w:eastAsia="方正仿宋_GBK"/>
          <w:sz w:val="32"/>
          <w:szCs w:val="32"/>
          <w:lang w:eastAsia="zh-CN"/>
        </w:rPr>
        <w:t>）</w:t>
      </w:r>
      <w:r>
        <w:rPr>
          <w:rFonts w:eastAsia="方正仿宋_GBK"/>
          <w:sz w:val="32"/>
          <w:szCs w:val="32"/>
        </w:rPr>
        <w:t>可能</w:t>
      </w:r>
      <w:r>
        <w:rPr>
          <w:rFonts w:eastAsia="方正仿宋_GBK"/>
          <w:spacing w:val="-20"/>
          <w:sz w:val="32"/>
          <w:szCs w:val="32"/>
        </w:rPr>
        <w:t>对我区环境造成辐射影响的外部区域的辐射事故；</w:t>
      </w:r>
    </w:p>
    <w:p>
      <w:pPr>
        <w:pStyle w:val="44"/>
        <w:keepNext w:val="0"/>
        <w:keepLines w:val="0"/>
        <w:pageBreakBefore w:val="0"/>
        <w:widowControl w:val="0"/>
        <w:numPr>
          <w:ilvl w:val="0"/>
          <w:numId w:val="0"/>
        </w:numPr>
        <w:kinsoku/>
        <w:wordWrap/>
        <w:overflowPunct/>
        <w:topLinePunct w:val="0"/>
        <w:autoSpaceDE/>
        <w:autoSpaceDN/>
        <w:bidi w:val="0"/>
        <w:adjustRightInd/>
        <w:snapToGrid/>
        <w:spacing w:line="570" w:lineRule="exact"/>
        <w:ind w:left="0"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5</w:t>
      </w:r>
      <w:r>
        <w:rPr>
          <w:rFonts w:hint="eastAsia" w:eastAsia="方正仿宋_GBK"/>
          <w:sz w:val="32"/>
          <w:szCs w:val="32"/>
          <w:lang w:eastAsia="zh-CN"/>
        </w:rPr>
        <w:t>）</w:t>
      </w:r>
      <w:r>
        <w:rPr>
          <w:rFonts w:eastAsia="方正仿宋_GBK"/>
          <w:sz w:val="32"/>
          <w:szCs w:val="32"/>
        </w:rPr>
        <w:t>国内外航天器在我区境内坠落造成的环境辐射污染事故；</w:t>
      </w:r>
    </w:p>
    <w:p>
      <w:pPr>
        <w:pStyle w:val="44"/>
        <w:keepNext w:val="0"/>
        <w:keepLines w:val="0"/>
        <w:pageBreakBefore w:val="0"/>
        <w:widowControl w:val="0"/>
        <w:numPr>
          <w:ilvl w:val="0"/>
          <w:numId w:val="0"/>
        </w:numPr>
        <w:kinsoku/>
        <w:wordWrap/>
        <w:overflowPunct/>
        <w:topLinePunct w:val="0"/>
        <w:autoSpaceDE/>
        <w:autoSpaceDN/>
        <w:bidi w:val="0"/>
        <w:adjustRightInd/>
        <w:snapToGrid/>
        <w:spacing w:line="570" w:lineRule="exact"/>
        <w:ind w:left="0"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6</w:t>
      </w:r>
      <w:r>
        <w:rPr>
          <w:rFonts w:hint="eastAsia" w:eastAsia="方正仿宋_GBK"/>
          <w:sz w:val="32"/>
          <w:szCs w:val="32"/>
          <w:lang w:eastAsia="zh-CN"/>
        </w:rPr>
        <w:t>）</w:t>
      </w:r>
      <w:r>
        <w:rPr>
          <w:rFonts w:eastAsia="方正仿宋_GBK"/>
          <w:sz w:val="32"/>
          <w:szCs w:val="32"/>
        </w:rPr>
        <w:t>各种火灾、重大安全事故、重大自然灾害引发的次生辐射事故。</w:t>
      </w:r>
    </w:p>
    <w:p>
      <w:pPr>
        <w:keepNext w:val="0"/>
        <w:keepLines w:val="0"/>
        <w:pageBreakBefore w:val="0"/>
        <w:widowControl w:val="0"/>
        <w:kinsoku/>
        <w:wordWrap/>
        <w:overflowPunct/>
        <w:topLinePunct w:val="0"/>
        <w:autoSpaceDE/>
        <w:autoSpaceDN/>
        <w:bidi w:val="0"/>
        <w:adjustRightInd/>
        <w:snapToGrid/>
        <w:spacing w:line="570" w:lineRule="exact"/>
        <w:ind w:left="0" w:firstLine="650" w:firstLineChars="200"/>
        <w:textAlignment w:val="auto"/>
        <w:rPr>
          <w:rFonts w:eastAsia="方正仿宋_GBK"/>
          <w:sz w:val="32"/>
          <w:szCs w:val="32"/>
        </w:rPr>
      </w:pPr>
      <w:r>
        <w:rPr>
          <w:rFonts w:eastAsia="方正仿宋_GBK"/>
          <w:sz w:val="32"/>
          <w:szCs w:val="32"/>
        </w:rPr>
        <w:t>根据天宁区现有辐射装置应用单位名录（附件6），天宁区现有辐射装置应用单位66家，其中涉源单位7家（使用Ⅰ、Ⅱ、Ⅲ、Ⅳ、Ⅴ放射源，使用丙级和乙级非密封源），射线装置单位（使用Ⅱ、Ⅲ类射线装置）64家，5家单位同时使用放射源和射线装置。因此，天宁区可能发生的辐射事故主要为：</w:t>
      </w:r>
    </w:p>
    <w:p>
      <w:pPr>
        <w:keepNext w:val="0"/>
        <w:keepLines w:val="0"/>
        <w:pageBreakBefore w:val="0"/>
        <w:widowControl w:val="0"/>
        <w:kinsoku/>
        <w:wordWrap/>
        <w:overflowPunct/>
        <w:topLinePunct w:val="0"/>
        <w:autoSpaceDE/>
        <w:autoSpaceDN/>
        <w:bidi w:val="0"/>
        <w:adjustRightInd/>
        <w:snapToGrid/>
        <w:spacing w:line="570" w:lineRule="exact"/>
        <w:ind w:left="0" w:firstLine="650" w:firstLineChars="200"/>
        <w:textAlignment w:val="auto"/>
        <w:rPr>
          <w:rFonts w:eastAsia="方正仿宋_GBK"/>
          <w:sz w:val="32"/>
          <w:szCs w:val="32"/>
        </w:rPr>
      </w:pPr>
      <w:r>
        <w:rPr>
          <w:rFonts w:eastAsia="方正仿宋_GBK"/>
          <w:sz w:val="32"/>
          <w:szCs w:val="32"/>
        </w:rPr>
        <w:t>（1）涉源单位的放射源丢失、被盗、失控或放射性物质泄露，造成人员伤亡、受到意外的异常照射和一定范围内的辐射污染事故；</w:t>
      </w:r>
    </w:p>
    <w:p>
      <w:pPr>
        <w:keepNext w:val="0"/>
        <w:keepLines w:val="0"/>
        <w:pageBreakBefore w:val="0"/>
        <w:widowControl w:val="0"/>
        <w:kinsoku/>
        <w:wordWrap/>
        <w:overflowPunct/>
        <w:topLinePunct w:val="0"/>
        <w:autoSpaceDE/>
        <w:autoSpaceDN/>
        <w:bidi w:val="0"/>
        <w:adjustRightInd/>
        <w:snapToGrid/>
        <w:spacing w:line="570" w:lineRule="exact"/>
        <w:ind w:left="0" w:firstLine="650" w:firstLineChars="200"/>
        <w:textAlignment w:val="auto"/>
        <w:rPr>
          <w:rFonts w:eastAsia="方正仿宋_GBK"/>
          <w:sz w:val="32"/>
          <w:szCs w:val="32"/>
        </w:rPr>
      </w:pPr>
      <w:r>
        <w:rPr>
          <w:rFonts w:eastAsia="方正仿宋_GBK"/>
          <w:sz w:val="32"/>
          <w:szCs w:val="32"/>
        </w:rPr>
        <w:t>（2）射线装置单位使用的射线装置失控导致人员受到意外的异常照射和一定范围内的辐射污染事故。</w:t>
      </w:r>
    </w:p>
    <w:p>
      <w:pPr>
        <w:pStyle w:val="46"/>
        <w:keepNext w:val="0"/>
        <w:keepLines w:val="0"/>
        <w:pageBreakBefore w:val="0"/>
        <w:widowControl w:val="0"/>
        <w:kinsoku/>
        <w:wordWrap/>
        <w:overflowPunct/>
        <w:autoSpaceDE/>
        <w:autoSpaceDN/>
        <w:bidi w:val="0"/>
        <w:snapToGrid/>
        <w:spacing w:line="570" w:lineRule="exact"/>
        <w:textAlignment w:val="auto"/>
        <w:rPr>
          <w:rFonts w:eastAsia="方正仿宋_GBK"/>
        </w:rPr>
      </w:pPr>
      <w:bookmarkStart w:id="8" w:name="_Toc86220846"/>
      <w:bookmarkStart w:id="9" w:name="_Toc448704212"/>
      <w:r>
        <w:rPr>
          <w:rFonts w:eastAsia="方正楷体_GBK"/>
          <w:b w:val="0"/>
          <w:bCs w:val="0"/>
        </w:rPr>
        <w:t>1.4</w:t>
      </w:r>
      <w:r>
        <w:rPr>
          <w:rFonts w:hint="eastAsia" w:eastAsia="方正楷体_GBK"/>
          <w:b w:val="0"/>
          <w:bCs w:val="0"/>
          <w:lang w:eastAsia="zh-CN"/>
        </w:rPr>
        <w:t>　</w:t>
      </w:r>
      <w:r>
        <w:rPr>
          <w:rFonts w:eastAsia="方正楷体_GBK"/>
          <w:b w:val="0"/>
          <w:bCs w:val="0"/>
        </w:rPr>
        <w:t>工作原则</w:t>
      </w:r>
      <w:bookmarkEnd w:id="8"/>
      <w:bookmarkEnd w:id="9"/>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1.4.1</w:t>
      </w:r>
      <w:r>
        <w:rPr>
          <w:rFonts w:hint="eastAsia" w:eastAsia="方正仿宋_GBK"/>
          <w:b/>
          <w:bCs w:val="0"/>
          <w:sz w:val="32"/>
          <w:szCs w:val="32"/>
          <w:lang w:eastAsia="zh-CN"/>
        </w:rPr>
        <w:t>　</w:t>
      </w:r>
      <w:r>
        <w:rPr>
          <w:rFonts w:eastAsia="方正仿宋_GBK"/>
          <w:b/>
          <w:bCs w:val="0"/>
          <w:sz w:val="32"/>
          <w:szCs w:val="32"/>
        </w:rPr>
        <w:t>以人为本，预防为主</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对可能造成人员伤亡的辐射事故，及时采取人员避险措施。发生辐射事故后，救援人员做好自身安全防护，优先开展人员抢救应急处置行动。依法加强对放射源的监督管理，做好日常监测、监控工作，建立突发辐射事故的预警和风险防范体系，及时控制、消除隐患。</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1.4.2</w:t>
      </w:r>
      <w:r>
        <w:rPr>
          <w:rFonts w:hint="eastAsia" w:eastAsia="方正仿宋_GBK"/>
          <w:b/>
          <w:bCs w:val="0"/>
          <w:sz w:val="32"/>
          <w:szCs w:val="32"/>
          <w:lang w:eastAsia="zh-CN"/>
        </w:rPr>
        <w:t>　</w:t>
      </w:r>
      <w:r>
        <w:rPr>
          <w:rFonts w:eastAsia="方正仿宋_GBK"/>
          <w:b/>
          <w:bCs w:val="0"/>
          <w:sz w:val="32"/>
          <w:szCs w:val="32"/>
        </w:rPr>
        <w:t>属地负责，分类指导</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在省、市政府统一管理下，负责天宁区范围内一般辐射事故应急工作， 开发区、郑陆镇及各街道办事处，配合上级辐射应急机构做好跨区或较大（含）以上辐射事故的应急处置工作，并接受其对事故应急工作的指导与支援。</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1.4.3</w:t>
      </w:r>
      <w:r>
        <w:rPr>
          <w:rFonts w:hint="eastAsia" w:eastAsia="方正仿宋_GBK"/>
          <w:b/>
          <w:bCs w:val="0"/>
          <w:sz w:val="32"/>
          <w:szCs w:val="32"/>
          <w:lang w:eastAsia="zh-CN"/>
        </w:rPr>
        <w:t>　</w:t>
      </w:r>
      <w:r>
        <w:rPr>
          <w:rFonts w:eastAsia="方正仿宋_GBK"/>
          <w:b/>
          <w:bCs w:val="0"/>
          <w:sz w:val="32"/>
          <w:szCs w:val="32"/>
        </w:rPr>
        <w:t>加强联动，大力协同</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加强与省、市辐射事故应急指挥机构以及生态环境、公安、卫生健康及其他相关部门之间的联动与信息互通，根据各自职责，大力协同，共同做好辐射事故应对工作。</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1.4.4</w:t>
      </w:r>
      <w:r>
        <w:rPr>
          <w:rFonts w:hint="eastAsia" w:eastAsia="方正仿宋_GBK"/>
          <w:b/>
          <w:bCs w:val="0"/>
          <w:sz w:val="32"/>
          <w:szCs w:val="32"/>
          <w:lang w:eastAsia="zh-CN"/>
        </w:rPr>
        <w:t>　</w:t>
      </w:r>
      <w:r>
        <w:rPr>
          <w:rFonts w:eastAsia="方正仿宋_GBK"/>
          <w:b/>
          <w:bCs w:val="0"/>
          <w:sz w:val="32"/>
          <w:szCs w:val="32"/>
        </w:rPr>
        <w:t>快速反应，科学处置</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当辐射事故即将发生或发生后，应迅速启动应急响应，及时上报信息，科学决策，快速应对，合理处置，做好信息公开和善后处理工作。</w:t>
      </w:r>
    </w:p>
    <w:p>
      <w:pPr>
        <w:pStyle w:val="46"/>
        <w:keepNext w:val="0"/>
        <w:keepLines w:val="0"/>
        <w:pageBreakBefore w:val="0"/>
        <w:widowControl w:val="0"/>
        <w:kinsoku/>
        <w:wordWrap/>
        <w:overflowPunct/>
        <w:autoSpaceDE/>
        <w:autoSpaceDN/>
        <w:bidi w:val="0"/>
        <w:snapToGrid/>
        <w:spacing w:line="570" w:lineRule="exact"/>
        <w:textAlignment w:val="auto"/>
        <w:outlineLvl w:val="0"/>
        <w:rPr>
          <w:rFonts w:eastAsia="方正黑体_GBK"/>
          <w:b w:val="0"/>
          <w:bCs w:val="0"/>
        </w:rPr>
      </w:pPr>
      <w:bookmarkStart w:id="10" w:name="_Toc86220847"/>
      <w:bookmarkStart w:id="11" w:name="_Toc448704213"/>
      <w:r>
        <w:rPr>
          <w:rFonts w:eastAsia="方正黑体_GBK"/>
          <w:b w:val="0"/>
          <w:bCs w:val="0"/>
        </w:rPr>
        <w:t>2</w:t>
      </w:r>
      <w:r>
        <w:rPr>
          <w:rFonts w:hint="eastAsia" w:eastAsia="方正黑体_GBK"/>
          <w:b w:val="0"/>
          <w:bCs w:val="0"/>
          <w:lang w:val="en-US" w:eastAsia="zh-CN"/>
        </w:rPr>
        <w:t>.</w:t>
      </w:r>
      <w:r>
        <w:rPr>
          <w:rFonts w:hint="eastAsia" w:eastAsia="方正黑体_GBK"/>
          <w:b w:val="0"/>
          <w:bCs w:val="0"/>
          <w:lang w:eastAsia="zh-CN"/>
        </w:rPr>
        <w:t>　</w:t>
      </w:r>
      <w:r>
        <w:rPr>
          <w:rFonts w:eastAsia="方正黑体_GBK"/>
          <w:b w:val="0"/>
          <w:bCs w:val="0"/>
        </w:rPr>
        <w:t>事故分级</w:t>
      </w:r>
      <w:bookmarkEnd w:id="10"/>
      <w:bookmarkEnd w:id="11"/>
    </w:p>
    <w:p>
      <w:pPr>
        <w:keepNext w:val="0"/>
        <w:keepLines w:val="0"/>
        <w:pageBreakBefore w:val="0"/>
        <w:widowControl w:val="0"/>
        <w:kinsoku/>
        <w:wordWrap/>
        <w:overflowPunct/>
        <w:topLinePunct w:val="0"/>
        <w:autoSpaceDE/>
        <w:autoSpaceDN/>
        <w:bidi w:val="0"/>
        <w:adjustRightInd/>
        <w:snapToGrid/>
        <w:spacing w:line="570" w:lineRule="exact"/>
        <w:ind w:left="0" w:firstLine="650" w:firstLineChars="200"/>
        <w:textAlignment w:val="auto"/>
        <w:rPr>
          <w:rFonts w:eastAsia="方正仿宋_GBK"/>
          <w:sz w:val="32"/>
          <w:szCs w:val="32"/>
        </w:rPr>
      </w:pPr>
      <w:r>
        <w:rPr>
          <w:rFonts w:eastAsia="方正仿宋_GBK"/>
          <w:sz w:val="32"/>
          <w:szCs w:val="32"/>
        </w:rPr>
        <w:t>根据事故的性质、严重程度、可控性和影响范围等因素，从重到轻将辐射事故分为特别重大（Ⅰ级）、重大（Ⅱ级）、较大（Ⅲ级）和一般（Ⅳ级）四个等级。</w:t>
      </w:r>
    </w:p>
    <w:p>
      <w:pPr>
        <w:pStyle w:val="46"/>
        <w:keepNext w:val="0"/>
        <w:keepLines w:val="0"/>
        <w:pageBreakBefore w:val="0"/>
        <w:widowControl w:val="0"/>
        <w:kinsoku/>
        <w:wordWrap/>
        <w:overflowPunct/>
        <w:autoSpaceDE/>
        <w:autoSpaceDN/>
        <w:bidi w:val="0"/>
        <w:snapToGrid/>
        <w:spacing w:line="570" w:lineRule="exact"/>
        <w:textAlignment w:val="auto"/>
        <w:rPr>
          <w:rFonts w:eastAsia="方正楷体_GBK"/>
          <w:b w:val="0"/>
          <w:bCs w:val="0"/>
        </w:rPr>
      </w:pPr>
      <w:bookmarkStart w:id="12" w:name="_Toc139953113"/>
      <w:bookmarkStart w:id="13" w:name="_Toc86220848"/>
      <w:r>
        <w:rPr>
          <w:rFonts w:eastAsia="方正楷体_GBK"/>
          <w:b w:val="0"/>
          <w:bCs w:val="0"/>
        </w:rPr>
        <w:t>2.1</w:t>
      </w:r>
      <w:r>
        <w:rPr>
          <w:rFonts w:hint="eastAsia" w:eastAsia="方正楷体_GBK"/>
          <w:b w:val="0"/>
          <w:bCs w:val="0"/>
          <w:lang w:eastAsia="zh-CN"/>
        </w:rPr>
        <w:t>　</w:t>
      </w:r>
      <w:r>
        <w:rPr>
          <w:rFonts w:eastAsia="方正楷体_GBK"/>
          <w:b w:val="0"/>
          <w:bCs w:val="0"/>
        </w:rPr>
        <w:t>特别重大辐射事故（Ⅰ级）</w:t>
      </w:r>
      <w:bookmarkEnd w:id="12"/>
      <w:bookmarkEnd w:id="13"/>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凡符合下列情形之一的，为特别重大辐射事故：</w:t>
      </w:r>
    </w:p>
    <w:p>
      <w:pPr>
        <w:pStyle w:val="44"/>
        <w:keepNext w:val="0"/>
        <w:keepLines w:val="0"/>
        <w:pageBreakBefore w:val="0"/>
        <w:widowControl w:val="0"/>
        <w:numPr>
          <w:ilvl w:val="0"/>
          <w:numId w:val="0"/>
        </w:numPr>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Ⅰ、Ⅱ类放射源丢失、被盗、失控并造成大范围严重辐射污染后果；</w:t>
      </w:r>
    </w:p>
    <w:p>
      <w:pPr>
        <w:pStyle w:val="44"/>
        <w:keepNext w:val="0"/>
        <w:keepLines w:val="0"/>
        <w:pageBreakBefore w:val="0"/>
        <w:widowControl w:val="0"/>
        <w:numPr>
          <w:ilvl w:val="0"/>
          <w:numId w:val="0"/>
        </w:numPr>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放射性同位素和射线装置失控导致3人以上急性死亡；</w:t>
      </w:r>
    </w:p>
    <w:p>
      <w:pPr>
        <w:pStyle w:val="44"/>
        <w:keepNext w:val="0"/>
        <w:keepLines w:val="0"/>
        <w:pageBreakBefore w:val="0"/>
        <w:widowControl w:val="0"/>
        <w:numPr>
          <w:ilvl w:val="0"/>
          <w:numId w:val="0"/>
        </w:numPr>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sz w:val="32"/>
          <w:szCs w:val="32"/>
        </w:rPr>
        <w:t>放射性物质泄漏，造成大范围辐射污染后果；</w:t>
      </w:r>
    </w:p>
    <w:p>
      <w:pPr>
        <w:pStyle w:val="44"/>
        <w:keepNext w:val="0"/>
        <w:keepLines w:val="0"/>
        <w:pageBreakBefore w:val="0"/>
        <w:widowControl w:val="0"/>
        <w:numPr>
          <w:ilvl w:val="0"/>
          <w:numId w:val="0"/>
        </w:numPr>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4</w:t>
      </w:r>
      <w:r>
        <w:rPr>
          <w:rFonts w:hint="eastAsia" w:eastAsia="方正仿宋_GBK"/>
          <w:sz w:val="32"/>
          <w:szCs w:val="32"/>
          <w:lang w:eastAsia="zh-CN"/>
        </w:rPr>
        <w:t>）</w:t>
      </w:r>
      <w:r>
        <w:rPr>
          <w:rFonts w:eastAsia="方正仿宋_GBK"/>
          <w:sz w:val="32"/>
          <w:szCs w:val="32"/>
        </w:rPr>
        <w:t>对天宁区境内可能或已经造成较大范围辐射污染的航天器坠落事件或境外发生的辐射事故。</w:t>
      </w:r>
    </w:p>
    <w:p>
      <w:pPr>
        <w:pStyle w:val="46"/>
        <w:keepNext w:val="0"/>
        <w:keepLines w:val="0"/>
        <w:pageBreakBefore w:val="0"/>
        <w:widowControl w:val="0"/>
        <w:kinsoku/>
        <w:wordWrap/>
        <w:overflowPunct/>
        <w:autoSpaceDE/>
        <w:autoSpaceDN/>
        <w:bidi w:val="0"/>
        <w:snapToGrid/>
        <w:spacing w:line="570" w:lineRule="exact"/>
        <w:textAlignment w:val="auto"/>
        <w:rPr>
          <w:rFonts w:eastAsia="方正楷体_GBK"/>
          <w:b w:val="0"/>
          <w:bCs w:val="0"/>
        </w:rPr>
      </w:pPr>
      <w:bookmarkStart w:id="14" w:name="_Toc139953114"/>
      <w:bookmarkStart w:id="15" w:name="_Toc86220849"/>
      <w:r>
        <w:rPr>
          <w:rFonts w:eastAsia="方正楷体_GBK"/>
          <w:b w:val="0"/>
          <w:bCs w:val="0"/>
        </w:rPr>
        <w:t>2.2</w:t>
      </w:r>
      <w:r>
        <w:rPr>
          <w:rFonts w:hint="eastAsia" w:eastAsia="方正楷体_GBK"/>
          <w:b w:val="0"/>
          <w:bCs w:val="0"/>
          <w:lang w:eastAsia="zh-CN"/>
        </w:rPr>
        <w:t>　</w:t>
      </w:r>
      <w:r>
        <w:rPr>
          <w:rFonts w:eastAsia="方正楷体_GBK"/>
          <w:b w:val="0"/>
          <w:bCs w:val="0"/>
        </w:rPr>
        <w:t>重大辐射事故（Ⅱ级）</w:t>
      </w:r>
      <w:bookmarkEnd w:id="14"/>
      <w:bookmarkEnd w:id="15"/>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凡符合下列情形之一的，为重大辐射事故：</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Ⅰ、Ⅱ类放射源丢失、被盗、失控；</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放射性同位素和射线装置失控导致3人以下急性死亡或者10人以上急性重度放射病、局部器官残疾；</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sz w:val="32"/>
          <w:szCs w:val="32"/>
        </w:rPr>
        <w:t>放射性物质泄漏，造成较大范围辐射污染后果。</w:t>
      </w:r>
    </w:p>
    <w:p>
      <w:pPr>
        <w:pStyle w:val="46"/>
        <w:keepNext w:val="0"/>
        <w:keepLines w:val="0"/>
        <w:pageBreakBefore w:val="0"/>
        <w:widowControl w:val="0"/>
        <w:kinsoku/>
        <w:wordWrap/>
        <w:overflowPunct/>
        <w:autoSpaceDE/>
        <w:autoSpaceDN/>
        <w:bidi w:val="0"/>
        <w:snapToGrid/>
        <w:spacing w:line="570" w:lineRule="exact"/>
        <w:textAlignment w:val="auto"/>
        <w:rPr>
          <w:rFonts w:eastAsia="方正楷体_GBK"/>
          <w:b w:val="0"/>
          <w:bCs w:val="0"/>
        </w:rPr>
      </w:pPr>
      <w:bookmarkStart w:id="16" w:name="_Toc139953115"/>
      <w:bookmarkStart w:id="17" w:name="_Toc86220850"/>
      <w:r>
        <w:rPr>
          <w:rFonts w:eastAsia="方正楷体_GBK"/>
          <w:b w:val="0"/>
          <w:bCs w:val="0"/>
        </w:rPr>
        <w:t>2.3</w:t>
      </w:r>
      <w:r>
        <w:rPr>
          <w:rFonts w:hint="eastAsia" w:eastAsia="方正楷体_GBK"/>
          <w:b w:val="0"/>
          <w:bCs w:val="0"/>
          <w:lang w:eastAsia="zh-CN"/>
        </w:rPr>
        <w:t>　</w:t>
      </w:r>
      <w:r>
        <w:rPr>
          <w:rFonts w:eastAsia="方正楷体_GBK"/>
          <w:b w:val="0"/>
          <w:bCs w:val="0"/>
        </w:rPr>
        <w:t>较大辐射事故（Ⅲ级）</w:t>
      </w:r>
      <w:bookmarkEnd w:id="16"/>
      <w:bookmarkEnd w:id="17"/>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凡符合下列情形之一的，为较大辐射事故：</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Ⅲ类放射源丢失、被盗、失控；</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放射性同位素和射线装置失控导致10人以下急性重度放射病、局部器官残疾；</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sz w:val="32"/>
          <w:szCs w:val="32"/>
        </w:rPr>
        <w:t>放射性物质泄漏，造成小范围辐射污染后果。</w:t>
      </w:r>
    </w:p>
    <w:p>
      <w:pPr>
        <w:pStyle w:val="46"/>
        <w:keepNext w:val="0"/>
        <w:keepLines w:val="0"/>
        <w:pageBreakBefore w:val="0"/>
        <w:widowControl w:val="0"/>
        <w:kinsoku/>
        <w:wordWrap/>
        <w:overflowPunct/>
        <w:autoSpaceDE/>
        <w:autoSpaceDN/>
        <w:bidi w:val="0"/>
        <w:snapToGrid/>
        <w:spacing w:line="570" w:lineRule="exact"/>
        <w:textAlignment w:val="auto"/>
        <w:rPr>
          <w:rFonts w:eastAsia="方正楷体_GBK"/>
          <w:b w:val="0"/>
          <w:bCs w:val="0"/>
        </w:rPr>
      </w:pPr>
      <w:bookmarkStart w:id="18" w:name="_Toc86220851"/>
      <w:bookmarkStart w:id="19" w:name="_Toc139953116"/>
      <w:r>
        <w:rPr>
          <w:rFonts w:eastAsia="方正楷体_GBK"/>
          <w:b w:val="0"/>
          <w:bCs w:val="0"/>
        </w:rPr>
        <w:t>2.4</w:t>
      </w:r>
      <w:r>
        <w:rPr>
          <w:rFonts w:hint="eastAsia" w:eastAsia="方正楷体_GBK"/>
          <w:b w:val="0"/>
          <w:bCs w:val="0"/>
          <w:lang w:eastAsia="zh-CN"/>
        </w:rPr>
        <w:t>　</w:t>
      </w:r>
      <w:r>
        <w:rPr>
          <w:rFonts w:eastAsia="方正楷体_GBK"/>
          <w:b w:val="0"/>
          <w:bCs w:val="0"/>
        </w:rPr>
        <w:t>一般辐射事故（Ⅳ级）</w:t>
      </w:r>
      <w:bookmarkEnd w:id="18"/>
      <w:bookmarkEnd w:id="19"/>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凡符合下列情形之一的，为一般辐射事故：</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Ⅳ类、Ⅴ类放射源丢失、被盗、失控；</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放射性同位素和射线装置失控导致人员受到超过年剂量限值的照射；</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sz w:val="32"/>
          <w:szCs w:val="32"/>
        </w:rPr>
        <w:t>放射性物质泄漏，造成厂区内或设施内局部辐射污染后果；</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4</w:t>
      </w:r>
      <w:r>
        <w:rPr>
          <w:rFonts w:hint="eastAsia" w:eastAsia="方正仿宋_GBK"/>
          <w:sz w:val="32"/>
          <w:szCs w:val="32"/>
          <w:lang w:eastAsia="zh-CN"/>
        </w:rPr>
        <w:t>）</w:t>
      </w:r>
      <w:r>
        <w:rPr>
          <w:rFonts w:eastAsia="方正仿宋_GBK"/>
          <w:sz w:val="32"/>
          <w:szCs w:val="32"/>
        </w:rPr>
        <w:t>铀矿冶、伴生矿开发利用中超标排放，造成环境辐射污染后果。</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上述有关数量表述，“以上”含本数，“以下”不含本数。</w:t>
      </w:r>
    </w:p>
    <w:p>
      <w:pPr>
        <w:pStyle w:val="45"/>
        <w:keepNext w:val="0"/>
        <w:keepLines w:val="0"/>
        <w:pageBreakBefore w:val="0"/>
        <w:widowControl w:val="0"/>
        <w:numPr>
          <w:ilvl w:val="0"/>
          <w:numId w:val="1"/>
        </w:numPr>
        <w:kinsoku/>
        <w:wordWrap/>
        <w:overflowPunct/>
        <w:autoSpaceDE/>
        <w:autoSpaceDN/>
        <w:bidi w:val="0"/>
        <w:snapToGrid/>
        <w:spacing w:line="570" w:lineRule="exact"/>
        <w:textAlignment w:val="auto"/>
        <w:rPr>
          <w:rFonts w:eastAsia="方正黑体_GBK"/>
          <w:b w:val="0"/>
          <w:bCs w:val="0"/>
        </w:rPr>
      </w:pPr>
      <w:bookmarkStart w:id="20" w:name="_Toc448704214"/>
      <w:bookmarkStart w:id="21" w:name="_Toc86220852"/>
      <w:r>
        <w:rPr>
          <w:rFonts w:eastAsia="方正黑体_GBK"/>
          <w:b w:val="0"/>
          <w:bCs w:val="0"/>
        </w:rPr>
        <w:t>组织体系</w:t>
      </w:r>
      <w:bookmarkEnd w:id="20"/>
      <w:bookmarkEnd w:id="21"/>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天宁区辐射事故应急组织体系，是江苏省辐射事故应急组织体系、常州市辐射事故应急组织体系、天宁区突发环境事件应急组织体系的组成部分，包括应急指挥机构、日常办事机构、现场指挥部、专家组等，主要职责是在省政府统一领导下，负责辖区内一般辐射事故（Ⅳ级）的应急工作，配合常州市和江苏省人民政府开展辖区内较大及以上辐射事故（Ⅰ、II、Ⅲ级）的应急工作。天宁区辐射事故应急组织体系见图1。</w:t>
      </w:r>
    </w:p>
    <w:p>
      <w:pPr>
        <w:jc w:val="center"/>
      </w:pPr>
      <w:r>
        <w:pict>
          <v:shape id="_x0000_i1025" o:spt="75" type="#_x0000_t75" style="height:393.1pt;width:335.35pt;" filled="f" o:preferrelative="t" stroked="f" coordsize="21600,21600">
            <v:path/>
            <v:fill on="f" focussize="0,0"/>
            <v:stroke on="f" joinstyle="miter"/>
            <v:imagedata r:id="rId7" o:title=""/>
            <o:lock v:ext="edit" aspectratio="t"/>
            <w10:wrap type="none"/>
            <w10:anchorlock/>
          </v:shape>
        </w:pic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方正楷体_GBK" w:cs="Times New Roman"/>
          <w:sz w:val="28"/>
          <w:szCs w:val="28"/>
        </w:rPr>
      </w:pPr>
      <w:r>
        <w:rPr>
          <w:rFonts w:hint="default" w:ascii="Times New Roman" w:hAnsi="Times New Roman" w:eastAsia="方正楷体_GBK" w:cs="Times New Roman"/>
          <w:sz w:val="28"/>
          <w:szCs w:val="28"/>
        </w:rPr>
        <w:t>图1 天宁区辐射事故应急组织体系图</w:t>
      </w:r>
    </w:p>
    <w:p>
      <w:pPr>
        <w:pStyle w:val="46"/>
        <w:pageBreakBefore w:val="0"/>
        <w:widowControl w:val="0"/>
        <w:kinsoku/>
        <w:wordWrap/>
        <w:overflowPunct/>
        <w:autoSpaceDE/>
        <w:autoSpaceDN/>
        <w:bidi w:val="0"/>
        <w:snapToGrid/>
        <w:spacing w:line="550" w:lineRule="exact"/>
        <w:textAlignment w:val="auto"/>
        <w:rPr>
          <w:rFonts w:eastAsia="方正楷体_GBK"/>
          <w:b w:val="0"/>
          <w:bCs w:val="0"/>
        </w:rPr>
      </w:pPr>
      <w:bookmarkStart w:id="22" w:name="_Toc86220853"/>
      <w:r>
        <w:rPr>
          <w:rFonts w:eastAsia="方正楷体_GBK"/>
          <w:b w:val="0"/>
          <w:bCs w:val="0"/>
        </w:rPr>
        <w:t>3.1</w:t>
      </w:r>
      <w:r>
        <w:rPr>
          <w:rFonts w:hint="eastAsia" w:eastAsia="方正楷体_GBK"/>
          <w:b w:val="0"/>
          <w:bCs w:val="0"/>
          <w:lang w:eastAsia="zh-CN"/>
        </w:rPr>
        <w:t>　</w:t>
      </w:r>
      <w:r>
        <w:rPr>
          <w:rFonts w:eastAsia="方正楷体_GBK"/>
          <w:b w:val="0"/>
          <w:bCs w:val="0"/>
        </w:rPr>
        <w:t>区辐射事故应急指挥部</w:t>
      </w:r>
      <w:bookmarkEnd w:id="22"/>
    </w:p>
    <w:p>
      <w:pPr>
        <w:keepNext w:val="0"/>
        <w:keepLines w:val="0"/>
        <w:pageBreakBefore w:val="0"/>
        <w:widowControl w:val="0"/>
        <w:kinsoku/>
        <w:wordWrap/>
        <w:overflowPunct/>
        <w:topLinePunct/>
        <w:autoSpaceDE/>
        <w:autoSpaceDN/>
        <w:bidi w:val="0"/>
        <w:adjustRightInd w:val="0"/>
        <w:snapToGrid/>
        <w:spacing w:line="550" w:lineRule="exact"/>
        <w:ind w:leftChars="0" w:firstLine="650" w:firstLineChars="200"/>
        <w:textAlignment w:val="auto"/>
        <w:rPr>
          <w:rFonts w:eastAsia="方正仿宋_GBK"/>
          <w:sz w:val="32"/>
          <w:szCs w:val="32"/>
        </w:rPr>
      </w:pPr>
      <w:r>
        <w:rPr>
          <w:rFonts w:eastAsia="方正仿宋_GBK"/>
          <w:sz w:val="32"/>
          <w:szCs w:val="32"/>
        </w:rPr>
        <w:t>当天宁区行政区域内发生一般辐射事故时，区政府成立区辐射事故应急指挥部，统一指挥协调辐射事故应急响应行动。当行政区域内发生较大辐射事故和跨区辐射事故时，区政府成立区辐射事故应急指挥部，接受省辐射事故应急指挥部和常州市辐射事故应急指挥部的指导，统一协调指挥辐射事故的应急响应行动。</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指挥长由分管生态环境保护工作的副区长担任，副指挥长由天宁生态环境局局长和区政府办分管</w:t>
      </w:r>
      <w:r>
        <w:rPr>
          <w:rFonts w:hint="eastAsia" w:eastAsia="方正仿宋_GBK"/>
          <w:sz w:val="32"/>
          <w:szCs w:val="32"/>
        </w:rPr>
        <w:t>副</w:t>
      </w:r>
      <w:r>
        <w:rPr>
          <w:rFonts w:eastAsia="方正仿宋_GBK"/>
          <w:sz w:val="32"/>
          <w:szCs w:val="32"/>
        </w:rPr>
        <w:t>主任担任，成员由区委宣传部、区委</w:t>
      </w:r>
      <w:r>
        <w:rPr>
          <w:rFonts w:hint="eastAsia" w:eastAsia="方正仿宋_GBK"/>
          <w:sz w:val="32"/>
          <w:szCs w:val="32"/>
        </w:rPr>
        <w:t>网络安全和信息化委员会办公室、</w:t>
      </w:r>
      <w:r>
        <w:rPr>
          <w:rFonts w:eastAsia="方正仿宋_GBK"/>
          <w:sz w:val="32"/>
          <w:szCs w:val="32"/>
        </w:rPr>
        <w:t>区财政局、区卫生健康局、天宁公安分局、天宁生态环境局、</w:t>
      </w:r>
      <w:r>
        <w:rPr>
          <w:rFonts w:hint="eastAsia" w:eastAsia="方正仿宋_GBK"/>
          <w:sz w:val="32"/>
          <w:szCs w:val="32"/>
        </w:rPr>
        <w:t>天宁经济</w:t>
      </w:r>
      <w:r>
        <w:rPr>
          <w:rFonts w:eastAsia="方正仿宋_GBK"/>
          <w:sz w:val="32"/>
          <w:szCs w:val="32"/>
        </w:rPr>
        <w:t>开发区、郑陆镇</w:t>
      </w:r>
      <w:r>
        <w:rPr>
          <w:rFonts w:hint="eastAsia" w:eastAsia="方正仿宋_GBK"/>
          <w:sz w:val="32"/>
          <w:szCs w:val="32"/>
        </w:rPr>
        <w:t>人民政府</w:t>
      </w:r>
      <w:r>
        <w:rPr>
          <w:rFonts w:eastAsia="方正仿宋_GBK"/>
          <w:sz w:val="32"/>
          <w:szCs w:val="32"/>
        </w:rPr>
        <w:t>及各街道办事处等部门负责同志组成。成员单位根据应急处置需要适时予以调整，各成员单位确定一名职能科室负责人为联络员。</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3.1.1</w:t>
      </w:r>
      <w:r>
        <w:rPr>
          <w:rFonts w:hint="eastAsia" w:eastAsia="方正仿宋_GBK"/>
          <w:b/>
          <w:bCs w:val="0"/>
          <w:sz w:val="32"/>
          <w:szCs w:val="32"/>
          <w:lang w:eastAsia="zh-CN"/>
        </w:rPr>
        <w:t>　</w:t>
      </w:r>
      <w:r>
        <w:rPr>
          <w:rFonts w:eastAsia="方正仿宋_GBK"/>
          <w:b/>
          <w:bCs w:val="0"/>
          <w:sz w:val="32"/>
          <w:szCs w:val="32"/>
        </w:rPr>
        <w:t>区辐射事故应急指挥部职责</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批准区级辐射应急响应行动的启动和终止；</w:t>
      </w:r>
    </w:p>
    <w:p>
      <w:pPr>
        <w:keepNext w:val="0"/>
        <w:keepLines w:val="0"/>
        <w:pageBreakBefore w:val="0"/>
        <w:widowControl w:val="0"/>
        <w:kinsoku/>
        <w:wordWrap/>
        <w:overflowPunct/>
        <w:topLinePunct/>
        <w:autoSpaceDE/>
        <w:autoSpaceDN/>
        <w:bidi w:val="0"/>
        <w:adjustRightInd w:val="0"/>
        <w:snapToGrid/>
        <w:spacing w:line="570" w:lineRule="exact"/>
        <w:ind w:leftChars="0" w:right="23" w:rightChars="11" w:firstLine="650" w:firstLineChars="200"/>
        <w:jc w:val="both"/>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领导、指挥和协调区有关部门和单位的应急响应行动；</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sz w:val="32"/>
          <w:szCs w:val="32"/>
        </w:rPr>
        <w:t>落实或传达区政府和国家、省、常州市辐射应急相关部门的指示、指令；</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4</w:t>
      </w:r>
      <w:r>
        <w:rPr>
          <w:rFonts w:hint="eastAsia" w:eastAsia="方正仿宋_GBK"/>
          <w:sz w:val="32"/>
          <w:szCs w:val="32"/>
          <w:lang w:eastAsia="zh-CN"/>
        </w:rPr>
        <w:t>）</w:t>
      </w:r>
      <w:r>
        <w:rPr>
          <w:rFonts w:eastAsia="方正仿宋_GBK"/>
          <w:sz w:val="32"/>
          <w:szCs w:val="32"/>
        </w:rPr>
        <w:t>负责向区政府和上级辐射应急相关部门及时报告辐射应急信息和处置情况，批准向区政府和上级辐射应急相关部门汇报的事故报告和应急工作报告，必要时，建议区政府向市政府请求支援；</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5</w:t>
      </w:r>
      <w:r>
        <w:rPr>
          <w:rFonts w:hint="eastAsia" w:eastAsia="方正仿宋_GBK"/>
          <w:sz w:val="32"/>
          <w:szCs w:val="32"/>
          <w:lang w:eastAsia="zh-CN"/>
        </w:rPr>
        <w:t>）</w:t>
      </w:r>
      <w:r>
        <w:rPr>
          <w:rFonts w:eastAsia="方正仿宋_GBK"/>
          <w:sz w:val="32"/>
          <w:szCs w:val="32"/>
        </w:rPr>
        <w:t>负责本辖区内一般辐射事故应急处置工作，负责协调外部力量对辖区内辐射应急工作提供必要的支援；</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6</w:t>
      </w:r>
      <w:r>
        <w:rPr>
          <w:rFonts w:hint="eastAsia" w:eastAsia="方正仿宋_GBK"/>
          <w:sz w:val="32"/>
          <w:szCs w:val="32"/>
          <w:lang w:eastAsia="zh-CN"/>
        </w:rPr>
        <w:t>）</w:t>
      </w:r>
      <w:r>
        <w:rPr>
          <w:rFonts w:eastAsia="方正仿宋_GBK"/>
          <w:sz w:val="32"/>
          <w:szCs w:val="32"/>
        </w:rPr>
        <w:t>统一指导区内有关辐射事故的新闻和信息发布、舆情应对工作；</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7</w:t>
      </w:r>
      <w:r>
        <w:rPr>
          <w:rFonts w:hint="eastAsia" w:eastAsia="方正仿宋_GBK"/>
          <w:sz w:val="32"/>
          <w:szCs w:val="32"/>
          <w:lang w:eastAsia="zh-CN"/>
        </w:rPr>
        <w:t>）</w:t>
      </w:r>
      <w:r>
        <w:rPr>
          <w:rFonts w:eastAsia="方正仿宋_GBK"/>
          <w:sz w:val="32"/>
          <w:szCs w:val="32"/>
        </w:rPr>
        <w:t>完成区政府和上级部门交办的其他任务。</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3.1.2</w:t>
      </w:r>
      <w:r>
        <w:rPr>
          <w:rFonts w:hint="eastAsia" w:eastAsia="方正仿宋_GBK"/>
          <w:b/>
          <w:bCs w:val="0"/>
          <w:sz w:val="32"/>
          <w:szCs w:val="32"/>
          <w:lang w:eastAsia="zh-CN"/>
        </w:rPr>
        <w:t>　</w:t>
      </w:r>
      <w:r>
        <w:rPr>
          <w:rFonts w:eastAsia="方正仿宋_GBK"/>
          <w:b/>
          <w:bCs w:val="0"/>
          <w:sz w:val="32"/>
          <w:szCs w:val="32"/>
        </w:rPr>
        <w:t>区辐射事故应急指挥部成员单位职责</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区委宣传部（区委</w:t>
      </w:r>
      <w:r>
        <w:rPr>
          <w:rFonts w:hint="eastAsia" w:eastAsia="方正仿宋_GBK"/>
          <w:sz w:val="32"/>
          <w:szCs w:val="32"/>
        </w:rPr>
        <w:t>网络安全和信息化委员会办公室</w:t>
      </w:r>
      <w:r>
        <w:rPr>
          <w:rFonts w:eastAsia="方正仿宋_GBK"/>
          <w:sz w:val="32"/>
          <w:szCs w:val="32"/>
        </w:rPr>
        <w:t>）</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负责组织辐射事故的宣传报道和舆论引导工作；</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配合指挥部或地方政府发布事故状态信息；</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组织协调新闻媒体做好宣传报道，加强舆情监测和网络舆情调控，正确引导舆论。</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区财政局</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负责保障辐射事故应急准备、应急响应、应急演练和应急体系的运行经费。</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sz w:val="32"/>
          <w:szCs w:val="32"/>
        </w:rPr>
        <w:t>区</w:t>
      </w:r>
      <w:r>
        <w:rPr>
          <w:rFonts w:hint="default" w:eastAsia="方正仿宋_GBK"/>
          <w:sz w:val="32"/>
          <w:szCs w:val="32"/>
        </w:rPr>
        <w:t>卫生健康局</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负责及时将获悉的辐射事故信息通报区辐射事故应急指挥部办公室；</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负责协调市级医疗卫生机构对受辐射伤害人员的医疗救护，参与事故现场卫生应急处置工作；</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负责或指导可能受到辐射伤害的人员健康影响评估；参与辐射事故应急相关的公众宣传；</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参与辐射事故其他相关应急处置行动。</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4</w:t>
      </w:r>
      <w:r>
        <w:rPr>
          <w:rFonts w:hint="eastAsia" w:eastAsia="方正仿宋_GBK"/>
          <w:sz w:val="32"/>
          <w:szCs w:val="32"/>
          <w:lang w:eastAsia="zh-CN"/>
        </w:rPr>
        <w:t>）</w:t>
      </w:r>
      <w:r>
        <w:rPr>
          <w:rFonts w:eastAsia="方正仿宋_GBK"/>
          <w:sz w:val="32"/>
          <w:szCs w:val="32"/>
        </w:rPr>
        <w:t>天宁公安分局</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负责及时将获悉的辐射事故信息通报区辐射事故应急指挥部办公室；</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负责丢失、被盗放射源的立案侦查和追缴；</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协助有关部门调查取证和涉嫌犯罪案件的侦查；</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负责指导、协调事故发生地派出所执行现场警戒和交通管制等任务，维护现场治安秩序；</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组织打击辐射事故信息造谣等违法行为；</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参与辐射事故的应急处置行动和事故调查处理等工作。</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5</w:t>
      </w:r>
      <w:r>
        <w:rPr>
          <w:rFonts w:hint="eastAsia" w:eastAsia="方正仿宋_GBK"/>
          <w:sz w:val="32"/>
          <w:szCs w:val="32"/>
          <w:lang w:eastAsia="zh-CN"/>
        </w:rPr>
        <w:t>）</w:t>
      </w:r>
      <w:r>
        <w:rPr>
          <w:rFonts w:eastAsia="方正仿宋_GBK"/>
          <w:sz w:val="32"/>
          <w:szCs w:val="32"/>
        </w:rPr>
        <w:t>天宁生态环境局</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负责区辐射事故应急指挥部的日常工作；</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负责组织协调一般辐射事故辐射环境监测和事故处置情况的实时报告、总结报告，对辐射事故进行定性定级和调查处理；</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协调解决辐射事故有关应急装备、物资的筹集准备工作；</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对事故产生的放射性废水、废气和固体废弃物等提出处理建议；</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协助公安部门监控追缴丢失、被盗的放射源；</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负责制定、修订本预案并按照程序报批；</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编制辐射项目规划，开展能力建设，落实辐射事故应急准备，维持应急响应能力；</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组织辐射事故应急培训、演练；</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配合开展辐射事故应急相关的公众宣传、信息公开和舆论引导工作；</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建立应急专家咨询组并组织专家组成员开展应急救援咨询服务工作。</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6</w:t>
      </w:r>
      <w:r>
        <w:rPr>
          <w:rFonts w:hint="eastAsia" w:eastAsia="方正仿宋_GBK"/>
          <w:sz w:val="32"/>
          <w:szCs w:val="32"/>
          <w:lang w:eastAsia="zh-CN"/>
        </w:rPr>
        <w:t>）</w:t>
      </w:r>
      <w:r>
        <w:rPr>
          <w:rFonts w:eastAsia="方正仿宋_GBK"/>
          <w:sz w:val="32"/>
          <w:szCs w:val="32"/>
        </w:rPr>
        <w:t>天宁经济</w:t>
      </w:r>
      <w:r>
        <w:rPr>
          <w:rFonts w:hint="default" w:eastAsia="方正仿宋_GBK"/>
          <w:sz w:val="32"/>
          <w:szCs w:val="32"/>
        </w:rPr>
        <w:t>开发区、</w:t>
      </w:r>
      <w:r>
        <w:rPr>
          <w:rFonts w:eastAsia="方正仿宋_GBK"/>
          <w:sz w:val="32"/>
          <w:szCs w:val="32"/>
        </w:rPr>
        <w:t>郑陆镇</w:t>
      </w:r>
      <w:r>
        <w:rPr>
          <w:rFonts w:hint="eastAsia" w:eastAsia="方正仿宋_GBK"/>
          <w:sz w:val="32"/>
          <w:szCs w:val="32"/>
        </w:rPr>
        <w:t>人民</w:t>
      </w:r>
      <w:r>
        <w:rPr>
          <w:rFonts w:eastAsia="方正仿宋_GBK"/>
          <w:sz w:val="32"/>
          <w:szCs w:val="32"/>
        </w:rPr>
        <w:t>政府、各街道办事处</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辖区内的民情舆论疏导和安抚工作；</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组织相关企业对辖区内发生的辐射事故进行先期处置；</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做</w:t>
      </w:r>
      <w:r>
        <w:rPr>
          <w:rFonts w:eastAsia="方正仿宋_GBK"/>
          <w:spacing w:val="-6"/>
          <w:sz w:val="32"/>
          <w:szCs w:val="32"/>
        </w:rPr>
        <w:t>好可能受辐射事故影响的公众的安全防护和撤离安置工作；</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配合区级现场处置人员的应急救援工作。</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7</w:t>
      </w:r>
      <w:r>
        <w:rPr>
          <w:rFonts w:hint="eastAsia" w:eastAsia="方正仿宋_GBK"/>
          <w:sz w:val="32"/>
          <w:szCs w:val="32"/>
          <w:lang w:eastAsia="zh-CN"/>
        </w:rPr>
        <w:t>）</w:t>
      </w:r>
      <w:r>
        <w:rPr>
          <w:rFonts w:eastAsia="方正仿宋_GBK"/>
          <w:sz w:val="32"/>
          <w:szCs w:val="32"/>
        </w:rPr>
        <w:t>其他单位</w:t>
      </w:r>
    </w:p>
    <w:p>
      <w:pPr>
        <w:keepNext w:val="0"/>
        <w:keepLines w:val="0"/>
        <w:pageBreakBefore w:val="0"/>
        <w:widowControl w:val="0"/>
        <w:kinsoku/>
        <w:wordWrap/>
        <w:overflowPunct/>
        <w:topLinePunct/>
        <w:autoSpaceDE/>
        <w:autoSpaceDN/>
        <w:bidi w:val="0"/>
        <w:adjustRightInd w:val="0"/>
        <w:snapToGrid/>
        <w:spacing w:line="570" w:lineRule="exact"/>
        <w:ind w:leftChars="0" w:firstLine="650" w:firstLineChars="200"/>
        <w:textAlignment w:val="auto"/>
        <w:rPr>
          <w:rFonts w:eastAsia="方正仿宋_GBK"/>
          <w:sz w:val="32"/>
          <w:szCs w:val="32"/>
        </w:rPr>
      </w:pPr>
      <w:r>
        <w:rPr>
          <w:rFonts w:eastAsia="方正仿宋_GBK"/>
          <w:sz w:val="32"/>
          <w:szCs w:val="32"/>
        </w:rPr>
        <w:t>根据辐射事故应急处置行动需要，本预案未规定职责的其他有关部门和单位按照区辐射事故应急指挥部的要求开展相应工作。</w:t>
      </w:r>
    </w:p>
    <w:p>
      <w:pPr>
        <w:pStyle w:val="46"/>
        <w:spacing w:line="570" w:lineRule="exact"/>
        <w:rPr>
          <w:rFonts w:eastAsia="方正楷体_GBK"/>
          <w:b w:val="0"/>
          <w:bCs w:val="0"/>
        </w:rPr>
      </w:pPr>
      <w:bookmarkStart w:id="23" w:name="_Toc448704216"/>
      <w:bookmarkStart w:id="24" w:name="_Toc86220854"/>
      <w:r>
        <w:rPr>
          <w:rFonts w:eastAsia="方正楷体_GBK"/>
          <w:b w:val="0"/>
          <w:bCs w:val="0"/>
        </w:rPr>
        <w:t>3.2</w:t>
      </w:r>
      <w:r>
        <w:rPr>
          <w:rFonts w:hint="eastAsia" w:eastAsia="方正楷体_GBK"/>
          <w:b w:val="0"/>
          <w:bCs w:val="0"/>
          <w:lang w:eastAsia="zh-CN"/>
        </w:rPr>
        <w:t>　</w:t>
      </w:r>
      <w:r>
        <w:rPr>
          <w:rFonts w:eastAsia="方正楷体_GBK"/>
          <w:b w:val="0"/>
          <w:bCs w:val="0"/>
        </w:rPr>
        <w:t>办事机构</w:t>
      </w:r>
      <w:bookmarkEnd w:id="23"/>
      <w:bookmarkEnd w:id="24"/>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区辐射事故应急指挥部下设区</w:t>
      </w:r>
      <w:r>
        <w:rPr>
          <w:rFonts w:eastAsia="方正仿宋_GBK"/>
          <w:b/>
          <w:sz w:val="32"/>
          <w:szCs w:val="32"/>
        </w:rPr>
        <w:t>辐射事故应急指挥部办公室</w:t>
      </w:r>
      <w:r>
        <w:rPr>
          <w:rFonts w:eastAsia="方正仿宋_GBK"/>
          <w:sz w:val="32"/>
          <w:szCs w:val="32"/>
        </w:rPr>
        <w:t>（以下简称“</w:t>
      </w:r>
      <w:r>
        <w:rPr>
          <w:rFonts w:eastAsia="方正仿宋_GBK"/>
          <w:b/>
          <w:sz w:val="32"/>
          <w:szCs w:val="32"/>
        </w:rPr>
        <w:t>区辐射事故应急办</w:t>
      </w:r>
      <w:r>
        <w:rPr>
          <w:rFonts w:eastAsia="方正仿宋_GBK"/>
          <w:sz w:val="32"/>
          <w:szCs w:val="32"/>
        </w:rPr>
        <w:t>”），作为区辐射事故应急指挥部的日常办事机构，设在天宁生态环境局。</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3.2.1</w:t>
      </w:r>
      <w:r>
        <w:rPr>
          <w:rFonts w:hint="eastAsia" w:eastAsia="方正仿宋_GBK"/>
          <w:b/>
          <w:bCs w:val="0"/>
          <w:sz w:val="32"/>
          <w:szCs w:val="32"/>
          <w:lang w:eastAsia="zh-CN"/>
        </w:rPr>
        <w:t>　</w:t>
      </w:r>
      <w:r>
        <w:rPr>
          <w:rFonts w:eastAsia="方正仿宋_GBK"/>
          <w:b/>
          <w:bCs w:val="0"/>
          <w:sz w:val="32"/>
          <w:szCs w:val="32"/>
        </w:rPr>
        <w:t>区辐射事故应急指挥部办公室组成</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区辐射事故应急指挥部办公室主任由天宁生态环境局分管领导担任，副主任由区委宣传部、天宁公安分局、区财政局、区卫生健康局等部门的分管领导担任。日常工作由天宁生态环境局负责。各部门确定一名职能处室负责人或具体管理人员为本部门辐射事故应急联络员，并将部门联络员信息报送至区辐射事故应急指挥部办公室。</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3.2.2</w:t>
      </w:r>
      <w:r>
        <w:rPr>
          <w:rFonts w:hint="eastAsia" w:eastAsia="方正仿宋_GBK"/>
          <w:b/>
          <w:bCs w:val="0"/>
          <w:sz w:val="32"/>
          <w:szCs w:val="32"/>
          <w:lang w:eastAsia="zh-CN"/>
        </w:rPr>
        <w:t>　</w:t>
      </w:r>
      <w:r>
        <w:rPr>
          <w:rFonts w:eastAsia="方正仿宋_GBK"/>
          <w:b/>
          <w:bCs w:val="0"/>
          <w:sz w:val="32"/>
          <w:szCs w:val="32"/>
        </w:rPr>
        <w:t>区辐射事故应急指挥部办公室职责</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负责处理区辐射事故应急指挥部的日常工作，组织制定、修改区辐射事故应急预案；</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建立和完善辐射事故应急预警机制，及时收集、分析辐射事故相关信息；</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sz w:val="32"/>
          <w:szCs w:val="32"/>
        </w:rPr>
        <w:t>负责对接报的辐射事故信息进行核实，核实属实的进行事故等级的初步研判；</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4</w:t>
      </w:r>
      <w:r>
        <w:rPr>
          <w:rFonts w:hint="eastAsia" w:eastAsia="方正仿宋_GBK"/>
          <w:sz w:val="32"/>
          <w:szCs w:val="32"/>
          <w:lang w:eastAsia="zh-CN"/>
        </w:rPr>
        <w:t>）</w:t>
      </w:r>
      <w:r>
        <w:rPr>
          <w:rFonts w:eastAsia="方正仿宋_GBK"/>
          <w:sz w:val="32"/>
          <w:szCs w:val="32"/>
        </w:rPr>
        <w:t>及时向区辐射事故应急指挥部提出启动本预案或申请外部支援的建议；</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5</w:t>
      </w:r>
      <w:r>
        <w:rPr>
          <w:rFonts w:hint="eastAsia" w:eastAsia="方正仿宋_GBK"/>
          <w:sz w:val="32"/>
          <w:szCs w:val="32"/>
          <w:lang w:eastAsia="zh-CN"/>
        </w:rPr>
        <w:t>）</w:t>
      </w:r>
      <w:r>
        <w:rPr>
          <w:rFonts w:eastAsia="方正仿宋_GBK"/>
          <w:sz w:val="32"/>
          <w:szCs w:val="32"/>
        </w:rPr>
        <w:t>传达区辐射事故应急指挥部决定的事项并检查落实情况；</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6</w:t>
      </w:r>
      <w:r>
        <w:rPr>
          <w:rFonts w:hint="eastAsia" w:eastAsia="方正仿宋_GBK"/>
          <w:sz w:val="32"/>
          <w:szCs w:val="32"/>
          <w:lang w:eastAsia="zh-CN"/>
        </w:rPr>
        <w:t>）</w:t>
      </w:r>
      <w:r>
        <w:rPr>
          <w:rFonts w:eastAsia="方正仿宋_GBK"/>
          <w:sz w:val="32"/>
          <w:szCs w:val="32"/>
        </w:rPr>
        <w:t>负责与省、市辐射应急指挥部门和区辐射应急指挥部各成员单位的日常联络和信息交换工作，建立区辐射事故应急管理联席会议制度；</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7</w:t>
      </w:r>
      <w:r>
        <w:rPr>
          <w:rFonts w:hint="eastAsia" w:eastAsia="方正仿宋_GBK"/>
          <w:sz w:val="32"/>
          <w:szCs w:val="32"/>
          <w:lang w:eastAsia="zh-CN"/>
        </w:rPr>
        <w:t>）</w:t>
      </w:r>
      <w:r>
        <w:rPr>
          <w:rFonts w:eastAsia="方正仿宋_GBK"/>
          <w:sz w:val="32"/>
          <w:szCs w:val="32"/>
        </w:rPr>
        <w:t>指导辐射事故准备工作，组织辐射事故应急培训、演习</w:t>
      </w:r>
      <w:r>
        <w:rPr>
          <w:rFonts w:hint="default" w:eastAsia="方正仿宋_GBK"/>
          <w:sz w:val="32"/>
          <w:szCs w:val="32"/>
        </w:rPr>
        <w:t>，开展对公众的宣传工作</w:t>
      </w:r>
      <w:r>
        <w:rPr>
          <w:rFonts w:eastAsia="方正仿宋_GBK"/>
          <w:sz w:val="32"/>
          <w:szCs w:val="32"/>
        </w:rPr>
        <w:t>；</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8</w:t>
      </w:r>
      <w:r>
        <w:rPr>
          <w:rFonts w:hint="eastAsia" w:eastAsia="方正仿宋_GBK"/>
          <w:sz w:val="32"/>
          <w:szCs w:val="32"/>
          <w:lang w:eastAsia="zh-CN"/>
        </w:rPr>
        <w:t>）</w:t>
      </w:r>
      <w:r>
        <w:rPr>
          <w:rFonts w:eastAsia="方正仿宋_GBK"/>
          <w:sz w:val="32"/>
          <w:szCs w:val="32"/>
        </w:rPr>
        <w:t>建立辐射事故应急值班制度，公开值班电话；</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9</w:t>
      </w:r>
      <w:r>
        <w:rPr>
          <w:rFonts w:hint="eastAsia" w:eastAsia="方正仿宋_GBK"/>
          <w:sz w:val="32"/>
          <w:szCs w:val="32"/>
          <w:lang w:eastAsia="zh-CN"/>
        </w:rPr>
        <w:t>）</w:t>
      </w:r>
      <w:r>
        <w:rPr>
          <w:rFonts w:eastAsia="方正仿宋_GBK"/>
          <w:sz w:val="32"/>
          <w:szCs w:val="32"/>
        </w:rPr>
        <w:t>建立应急专家咨询组并组织专家组成员开展应急救援咨询工作；</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pacing w:val="-9"/>
          <w:sz w:val="32"/>
          <w:szCs w:val="32"/>
        </w:rPr>
      </w:pPr>
      <w:r>
        <w:rPr>
          <w:rFonts w:hint="eastAsia" w:eastAsia="方正仿宋_GBK"/>
          <w:sz w:val="32"/>
          <w:szCs w:val="32"/>
          <w:lang w:eastAsia="zh-CN"/>
        </w:rPr>
        <w:t>（</w:t>
      </w:r>
      <w:r>
        <w:rPr>
          <w:rFonts w:hint="eastAsia" w:eastAsia="方正仿宋_GBK"/>
          <w:sz w:val="32"/>
          <w:szCs w:val="32"/>
          <w:lang w:val="en-US" w:eastAsia="zh-CN"/>
        </w:rPr>
        <w:t>10</w:t>
      </w:r>
      <w:r>
        <w:rPr>
          <w:rFonts w:hint="eastAsia" w:eastAsia="方正仿宋_GBK"/>
          <w:sz w:val="32"/>
          <w:szCs w:val="32"/>
          <w:lang w:eastAsia="zh-CN"/>
        </w:rPr>
        <w:t>）</w:t>
      </w:r>
      <w:r>
        <w:rPr>
          <w:rFonts w:eastAsia="方正仿宋_GBK"/>
          <w:sz w:val="32"/>
          <w:szCs w:val="32"/>
        </w:rPr>
        <w:t>编</w:t>
      </w:r>
      <w:r>
        <w:rPr>
          <w:rFonts w:eastAsia="方正仿宋_GBK"/>
          <w:spacing w:val="-9"/>
          <w:sz w:val="32"/>
          <w:szCs w:val="32"/>
        </w:rPr>
        <w:t>制事故处置情况的初始报告、实时报告、总结报告。</w:t>
      </w:r>
    </w:p>
    <w:p>
      <w:pPr>
        <w:pStyle w:val="46"/>
        <w:spacing w:line="570" w:lineRule="exact"/>
        <w:rPr>
          <w:rFonts w:eastAsia="方正楷体_GBK"/>
          <w:b w:val="0"/>
          <w:bCs w:val="0"/>
        </w:rPr>
      </w:pPr>
      <w:bookmarkStart w:id="25" w:name="_Toc448704217"/>
      <w:bookmarkStart w:id="26" w:name="_Toc86220855"/>
      <w:r>
        <w:rPr>
          <w:rFonts w:eastAsia="方正楷体_GBK"/>
          <w:b w:val="0"/>
          <w:bCs w:val="0"/>
        </w:rPr>
        <w:t>3.3</w:t>
      </w:r>
      <w:r>
        <w:rPr>
          <w:rFonts w:hint="eastAsia" w:eastAsia="方正楷体_GBK"/>
          <w:b w:val="0"/>
          <w:bCs w:val="0"/>
          <w:lang w:eastAsia="zh-CN"/>
        </w:rPr>
        <w:t>　</w:t>
      </w:r>
      <w:r>
        <w:rPr>
          <w:rFonts w:eastAsia="方正楷体_GBK"/>
          <w:b w:val="0"/>
          <w:bCs w:val="0"/>
        </w:rPr>
        <w:t>现场指挥部</w:t>
      </w:r>
      <w:bookmarkEnd w:id="25"/>
      <w:bookmarkEnd w:id="26"/>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发生辐射事故时，区辐射事故应急指挥部根据应急处置工作需要，成立现场指挥部，现场指挥由区辐射事故应急指挥部总指挥确定，负责事故现场的指挥协调工作。现场指挥部下设舆情信息组、现场协调组、现场监测组、现场处置组、安全保卫组、医疗卫生组等6个处置小组。</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3.3.1</w:t>
      </w:r>
      <w:r>
        <w:rPr>
          <w:rFonts w:hint="eastAsia" w:eastAsia="方正仿宋_GBK"/>
          <w:b/>
          <w:bCs w:val="0"/>
          <w:sz w:val="32"/>
          <w:szCs w:val="32"/>
          <w:lang w:eastAsia="zh-CN"/>
        </w:rPr>
        <w:t>　</w:t>
      </w:r>
      <w:r>
        <w:rPr>
          <w:rFonts w:eastAsia="方正仿宋_GBK"/>
          <w:b/>
          <w:bCs w:val="0"/>
          <w:sz w:val="32"/>
          <w:szCs w:val="32"/>
        </w:rPr>
        <w:t>舆情信息组</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由区委宣传部牵头，天宁生态环境局、天宁公安分局、区卫生健康局等部门相关人员组成。负责收集分析舆情，及时报送重要信息，向应急指挥部提出舆情应对建议；组织指导报刊、电台、电视、网络等新闻媒体及时宣传报道；组织开展辐射事故应急期间的公众宣传和专家解读，负责接待媒体采访和公众咨询。</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3.3.2</w:t>
      </w:r>
      <w:r>
        <w:rPr>
          <w:rFonts w:hint="eastAsia" w:eastAsia="方正仿宋_GBK"/>
          <w:b/>
          <w:bCs w:val="0"/>
          <w:sz w:val="32"/>
          <w:szCs w:val="32"/>
          <w:lang w:eastAsia="zh-CN"/>
        </w:rPr>
        <w:t>　</w:t>
      </w:r>
      <w:r>
        <w:rPr>
          <w:rFonts w:eastAsia="方正仿宋_GBK"/>
          <w:b/>
          <w:bCs w:val="0"/>
          <w:sz w:val="32"/>
          <w:szCs w:val="32"/>
        </w:rPr>
        <w:t>现场协调组</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由天宁生态环境局牵头，区卫生健康局、天宁公安分局、</w:t>
      </w:r>
      <w:r>
        <w:rPr>
          <w:rFonts w:hint="default" w:eastAsia="方正仿宋_GBK"/>
          <w:sz w:val="32"/>
          <w:szCs w:val="32"/>
        </w:rPr>
        <w:t>事故发生地</w:t>
      </w:r>
      <w:r>
        <w:rPr>
          <w:rFonts w:eastAsia="方正仿宋_GBK"/>
          <w:sz w:val="32"/>
          <w:szCs w:val="32"/>
        </w:rPr>
        <w:t>所在板块等相关人员和辐射事故应急技术专家组成。</w:t>
      </w:r>
      <w:r>
        <w:rPr>
          <w:rFonts w:hint="default" w:eastAsia="方正仿宋_GBK"/>
          <w:sz w:val="32"/>
          <w:szCs w:val="32"/>
        </w:rPr>
        <w:t>负责组织协调各响应组有效开展应急响应工作；负责提供辐射事故地点及相关单位的基础资料，及时报告现场应急信息；负责各响应组现场指挥调度和后勤保障；传达省、市指挥部门的指示和要求，及时上报应急处置进展情况；对应急行动的终止提出建议。</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3.3.3</w:t>
      </w:r>
      <w:r>
        <w:rPr>
          <w:rFonts w:hint="eastAsia" w:eastAsia="方正仿宋_GBK"/>
          <w:b/>
          <w:bCs w:val="0"/>
          <w:sz w:val="32"/>
          <w:szCs w:val="32"/>
          <w:lang w:eastAsia="zh-CN"/>
        </w:rPr>
        <w:t>　</w:t>
      </w:r>
      <w:r>
        <w:rPr>
          <w:rFonts w:eastAsia="方正仿宋_GBK"/>
          <w:b/>
          <w:bCs w:val="0"/>
          <w:sz w:val="32"/>
          <w:szCs w:val="32"/>
        </w:rPr>
        <w:t>现场监测组</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由天宁生态环境局</w:t>
      </w:r>
      <w:r>
        <w:rPr>
          <w:rFonts w:hint="eastAsia" w:eastAsia="方正仿宋_GBK"/>
          <w:sz w:val="32"/>
          <w:szCs w:val="32"/>
        </w:rPr>
        <w:t>、区卫生健康局协调市</w:t>
      </w:r>
      <w:r>
        <w:rPr>
          <w:rFonts w:hint="default" w:eastAsia="方正仿宋_GBK"/>
          <w:sz w:val="32"/>
          <w:szCs w:val="32"/>
        </w:rPr>
        <w:t>生态环境系统辐射环境监测人员、市卫生健康系统辐射监测人员组成。当监测能力不足时，可请求上级支持或引入第三方监测力量</w:t>
      </w:r>
      <w:r>
        <w:rPr>
          <w:rFonts w:eastAsia="方正仿宋_GBK"/>
          <w:sz w:val="32"/>
          <w:szCs w:val="32"/>
        </w:rPr>
        <w:t>。</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default" w:eastAsia="方正仿宋_GBK"/>
          <w:sz w:val="32"/>
          <w:szCs w:val="32"/>
        </w:rPr>
        <w:t>负责制定辐射事故应急监测方案并组织实施；必要时派遣专家或监测人员，加强现场应急监测工作；配合开展监测数据整理和监测报告提交；对应急处置行动提供必要支援；配合开展事故后期跟踪监测和去污后环境监测；提出外部监测力量支援建议。</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3.3.4</w:t>
      </w:r>
      <w:r>
        <w:rPr>
          <w:rFonts w:hint="eastAsia" w:eastAsia="方正仿宋_GBK"/>
          <w:b/>
          <w:bCs w:val="0"/>
          <w:sz w:val="32"/>
          <w:szCs w:val="32"/>
          <w:lang w:eastAsia="zh-CN"/>
        </w:rPr>
        <w:t>　</w:t>
      </w:r>
      <w:r>
        <w:rPr>
          <w:rFonts w:eastAsia="方正仿宋_GBK"/>
          <w:b/>
          <w:bCs w:val="0"/>
          <w:sz w:val="32"/>
          <w:szCs w:val="32"/>
        </w:rPr>
        <w:t>现场处置组</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由天宁生态环境局牵头，天宁</w:t>
      </w:r>
      <w:r>
        <w:rPr>
          <w:rFonts w:hint="eastAsia" w:eastAsia="方正仿宋_GBK"/>
          <w:sz w:val="32"/>
          <w:szCs w:val="32"/>
        </w:rPr>
        <w:t>公安</w:t>
      </w:r>
      <w:r>
        <w:rPr>
          <w:rFonts w:eastAsia="方正仿宋_GBK"/>
          <w:sz w:val="32"/>
          <w:szCs w:val="32"/>
        </w:rPr>
        <w:t>分局、区卫生健康局等部门辐射事故应急处置人员组成。</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负责对事故进行研判；负责制定事故处置方案；负责事故现场放射性污染的处理、处置；提出外部处置力量支援建议；必要时，配合有关部门对易失控的放射源实施收贮。</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3.3.5</w:t>
      </w:r>
      <w:r>
        <w:rPr>
          <w:rFonts w:hint="eastAsia" w:eastAsia="方正仿宋_GBK"/>
          <w:b/>
          <w:bCs w:val="0"/>
          <w:sz w:val="32"/>
          <w:szCs w:val="32"/>
          <w:lang w:eastAsia="zh-CN"/>
        </w:rPr>
        <w:t>　</w:t>
      </w:r>
      <w:r>
        <w:rPr>
          <w:rFonts w:eastAsia="方正仿宋_GBK"/>
          <w:b/>
          <w:bCs w:val="0"/>
          <w:sz w:val="32"/>
          <w:szCs w:val="32"/>
        </w:rPr>
        <w:t>安全保卫组</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由</w:t>
      </w:r>
      <w:r>
        <w:rPr>
          <w:rFonts w:hint="default" w:eastAsia="方正仿宋_GBK"/>
          <w:b w:val="0"/>
          <w:sz w:val="32"/>
          <w:szCs w:val="32"/>
        </w:rPr>
        <w:t>天宁</w:t>
      </w:r>
      <w:r>
        <w:rPr>
          <w:rFonts w:hint="eastAsia" w:eastAsia="方正仿宋_GBK"/>
          <w:sz w:val="32"/>
          <w:szCs w:val="32"/>
        </w:rPr>
        <w:t>公安</w:t>
      </w:r>
      <w:r>
        <w:rPr>
          <w:rFonts w:hint="default" w:eastAsia="方正仿宋_GBK"/>
          <w:b w:val="0"/>
          <w:sz w:val="32"/>
          <w:szCs w:val="32"/>
        </w:rPr>
        <w:t>分局</w:t>
      </w:r>
      <w:r>
        <w:rPr>
          <w:rFonts w:eastAsia="方正仿宋_GBK"/>
          <w:sz w:val="32"/>
          <w:szCs w:val="32"/>
        </w:rPr>
        <w:t>牵头，天宁生态环境局、事故发生地所在板块等相关单位组成。</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负责执行现场警戒和交通管制任务；负责丢失和被盗放射源等事故的立案、侦察和追缴；组织可能受辐射事故影响的公众的撤离安置；申请外部公安机关支援力量。</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3.3.6</w:t>
      </w:r>
      <w:r>
        <w:rPr>
          <w:rFonts w:hint="eastAsia" w:eastAsia="方正仿宋_GBK"/>
          <w:b/>
          <w:bCs w:val="0"/>
          <w:sz w:val="32"/>
          <w:szCs w:val="32"/>
          <w:lang w:eastAsia="zh-CN"/>
        </w:rPr>
        <w:t>　</w:t>
      </w:r>
      <w:r>
        <w:rPr>
          <w:rFonts w:eastAsia="方正仿宋_GBK"/>
          <w:b/>
          <w:bCs w:val="0"/>
          <w:sz w:val="32"/>
          <w:szCs w:val="32"/>
        </w:rPr>
        <w:t>医疗卫生组</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由</w:t>
      </w:r>
      <w:r>
        <w:rPr>
          <w:rFonts w:hint="default" w:ascii="Times New Roman" w:hAnsi="Times New Roman" w:eastAsia="方正仿宋_GBK" w:cs="Times New Roman"/>
          <w:b w:val="0"/>
          <w:sz w:val="32"/>
          <w:szCs w:val="32"/>
        </w:rPr>
        <w:t>区卫生健康局</w:t>
      </w:r>
      <w:r>
        <w:rPr>
          <w:rFonts w:eastAsia="方正仿宋_GBK"/>
          <w:sz w:val="32"/>
          <w:szCs w:val="32"/>
        </w:rPr>
        <w:t>牵头，相关医疗单位人员组成。</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组织事故现场卫生应急处置等应急救援工作；组织协调或指导受辐射伤害人员的医疗救治和剂量评价工作；组织协调或指导可能受到辐射伤害的人员健康影响评估；组织协调卫健部门支援力量。</w:t>
      </w:r>
    </w:p>
    <w:p>
      <w:pPr>
        <w:pStyle w:val="46"/>
        <w:spacing w:line="570" w:lineRule="exact"/>
        <w:rPr>
          <w:rFonts w:eastAsia="方正楷体_GBK"/>
          <w:b w:val="0"/>
          <w:bCs w:val="0"/>
        </w:rPr>
      </w:pPr>
      <w:bookmarkStart w:id="27" w:name="_Toc448704218"/>
      <w:bookmarkStart w:id="28" w:name="_Toc86220856"/>
      <w:r>
        <w:rPr>
          <w:rFonts w:eastAsia="方正楷体_GBK"/>
          <w:b w:val="0"/>
          <w:bCs w:val="0"/>
        </w:rPr>
        <w:t>3.4</w:t>
      </w:r>
      <w:r>
        <w:rPr>
          <w:rFonts w:hint="eastAsia" w:eastAsia="方正楷体_GBK"/>
          <w:b w:val="0"/>
          <w:bCs w:val="0"/>
          <w:lang w:eastAsia="zh-CN"/>
        </w:rPr>
        <w:t>　</w:t>
      </w:r>
      <w:r>
        <w:rPr>
          <w:rFonts w:eastAsia="方正楷体_GBK"/>
          <w:b w:val="0"/>
          <w:bCs w:val="0"/>
        </w:rPr>
        <w:t>专家组</w:t>
      </w:r>
      <w:bookmarkEnd w:id="27"/>
      <w:bookmarkEnd w:id="28"/>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3.4.1</w:t>
      </w:r>
      <w:r>
        <w:rPr>
          <w:rFonts w:hint="eastAsia" w:eastAsia="方正仿宋_GBK"/>
          <w:b/>
          <w:bCs w:val="0"/>
          <w:sz w:val="32"/>
          <w:szCs w:val="32"/>
          <w:lang w:eastAsia="zh-CN"/>
        </w:rPr>
        <w:t>　</w:t>
      </w:r>
      <w:r>
        <w:rPr>
          <w:rFonts w:eastAsia="方正仿宋_GBK"/>
          <w:b/>
          <w:bCs w:val="0"/>
          <w:sz w:val="32"/>
          <w:szCs w:val="32"/>
        </w:rPr>
        <w:t>专家组组成</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区辐射事故应急指挥部办公室聘请核与辐射、环境保护、医疗卫生、公安及法律等方面的专家组建辐射事故专家组。</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3.4.2</w:t>
      </w:r>
      <w:r>
        <w:rPr>
          <w:rFonts w:hint="eastAsia" w:eastAsia="方正仿宋_GBK"/>
          <w:b/>
          <w:bCs w:val="0"/>
          <w:sz w:val="32"/>
          <w:szCs w:val="32"/>
          <w:lang w:eastAsia="zh-CN"/>
        </w:rPr>
        <w:t>　</w:t>
      </w:r>
      <w:r>
        <w:rPr>
          <w:rFonts w:eastAsia="方正仿宋_GBK"/>
          <w:b/>
          <w:bCs w:val="0"/>
          <w:sz w:val="32"/>
          <w:szCs w:val="32"/>
        </w:rPr>
        <w:t>专家组工作内容</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负责重要信息研判；参与辐射事故等级评定、预测事故可能带来的环境影响；负责应急响应行动的技术指导，提出防护措施、应急响应终止、善后工作的意见和建议；参与应急演练和评估工作，对应急预案的制定、修订提出修改意见和建议；参与辐射事故科普宣传和应急知识培训。</w:t>
      </w:r>
    </w:p>
    <w:p>
      <w:pPr>
        <w:pStyle w:val="45"/>
        <w:numPr>
          <w:ilvl w:val="0"/>
          <w:numId w:val="2"/>
        </w:numPr>
        <w:spacing w:line="570" w:lineRule="exact"/>
        <w:rPr>
          <w:rFonts w:eastAsia="方正黑体_GBK"/>
          <w:b w:val="0"/>
          <w:bCs w:val="0"/>
        </w:rPr>
      </w:pPr>
      <w:bookmarkStart w:id="29" w:name="_Toc86220857"/>
      <w:bookmarkStart w:id="30" w:name="_Toc448704219"/>
      <w:r>
        <w:rPr>
          <w:rFonts w:eastAsia="方正黑体_GBK"/>
          <w:b w:val="0"/>
          <w:bCs w:val="0"/>
        </w:rPr>
        <w:t>预防预警</w:t>
      </w:r>
      <w:bookmarkEnd w:id="29"/>
      <w:bookmarkEnd w:id="30"/>
    </w:p>
    <w:p>
      <w:pPr>
        <w:pStyle w:val="46"/>
        <w:spacing w:line="570" w:lineRule="exact"/>
        <w:rPr>
          <w:rFonts w:eastAsia="方正楷体_GBK"/>
          <w:b w:val="0"/>
          <w:bCs w:val="0"/>
        </w:rPr>
      </w:pPr>
      <w:bookmarkStart w:id="31" w:name="_Toc86220858"/>
      <w:bookmarkStart w:id="32" w:name="_Toc448704220"/>
      <w:r>
        <w:rPr>
          <w:rFonts w:eastAsia="方正楷体_GBK"/>
          <w:b w:val="0"/>
          <w:bCs w:val="0"/>
        </w:rPr>
        <w:t>4.1</w:t>
      </w:r>
      <w:r>
        <w:rPr>
          <w:rFonts w:hint="eastAsia" w:eastAsia="方正楷体_GBK"/>
          <w:b w:val="0"/>
          <w:bCs w:val="0"/>
          <w:lang w:eastAsia="zh-CN"/>
        </w:rPr>
        <w:t>　</w:t>
      </w:r>
      <w:r>
        <w:rPr>
          <w:rFonts w:eastAsia="方正楷体_GBK"/>
          <w:b w:val="0"/>
          <w:bCs w:val="0"/>
        </w:rPr>
        <w:t>信息监控</w:t>
      </w:r>
      <w:bookmarkEnd w:id="31"/>
      <w:bookmarkEnd w:id="32"/>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按照早发现、早报告、早处置的原则，天宁生态环境局对区内核技术利用项目进行动态信息监控，重点收集、报告和处理Ⅰ、Ⅱ、Ⅲ类放射源信息，Ⅰ、Ⅱ、Ⅲ类放射源使用单位的安全运行状况信息，自然灾害（如台风、地震等）对生产、销售、使用放射性同位素和射线装置的单位（以下简称“辐射工作单位”）安全运行可能产生的影响，以及发生在区外有可能对我区造成辐射影响的信息。</w:t>
      </w:r>
    </w:p>
    <w:p>
      <w:pPr>
        <w:pStyle w:val="46"/>
        <w:spacing w:line="570" w:lineRule="exact"/>
        <w:rPr>
          <w:rFonts w:eastAsia="方正楷体_GBK"/>
          <w:b w:val="0"/>
          <w:bCs w:val="0"/>
        </w:rPr>
      </w:pPr>
      <w:bookmarkStart w:id="33" w:name="_Toc86220859"/>
      <w:bookmarkStart w:id="34" w:name="_Toc448704221"/>
      <w:r>
        <w:rPr>
          <w:rFonts w:eastAsia="方正楷体_GBK"/>
          <w:b w:val="0"/>
          <w:bCs w:val="0"/>
        </w:rPr>
        <w:t>4.2</w:t>
      </w:r>
      <w:r>
        <w:rPr>
          <w:rFonts w:hint="eastAsia" w:eastAsia="方正楷体_GBK"/>
          <w:b w:val="0"/>
          <w:bCs w:val="0"/>
          <w:lang w:eastAsia="zh-CN"/>
        </w:rPr>
        <w:t>　</w:t>
      </w:r>
      <w:r>
        <w:rPr>
          <w:rFonts w:eastAsia="方正楷体_GBK"/>
          <w:b w:val="0"/>
          <w:bCs w:val="0"/>
        </w:rPr>
        <w:t>预防工作</w:t>
      </w:r>
      <w:bookmarkEnd w:id="33"/>
      <w:bookmarkEnd w:id="34"/>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辐射工作单位负责本单位辐射安全管理工作，制定本单位辐射事故应急处置方案，落实各项应急准备工作，预防辐射事故的发生。天宁生态环境行政主管部门和其他有关部门按照各自职责对辐射工作单位进行监督检查，对重点辐射源实施有效监控，预防辐射事故的发生。</w:t>
      </w:r>
    </w:p>
    <w:p>
      <w:pPr>
        <w:pStyle w:val="46"/>
        <w:spacing w:line="570" w:lineRule="exact"/>
        <w:rPr>
          <w:rFonts w:eastAsia="方正楷体_GBK"/>
          <w:b w:val="0"/>
          <w:bCs w:val="0"/>
        </w:rPr>
      </w:pPr>
      <w:bookmarkStart w:id="35" w:name="_Toc448704222"/>
      <w:bookmarkStart w:id="36" w:name="_Toc86220860"/>
      <w:r>
        <w:rPr>
          <w:rFonts w:eastAsia="方正楷体_GBK"/>
          <w:b w:val="0"/>
          <w:bCs w:val="0"/>
        </w:rPr>
        <w:t>4.3</w:t>
      </w:r>
      <w:r>
        <w:rPr>
          <w:rFonts w:hint="eastAsia" w:eastAsia="方正楷体_GBK"/>
          <w:b w:val="0"/>
          <w:bCs w:val="0"/>
          <w:lang w:eastAsia="zh-CN"/>
        </w:rPr>
        <w:t>　</w:t>
      </w:r>
      <w:r>
        <w:rPr>
          <w:rFonts w:eastAsia="方正楷体_GBK"/>
          <w:b w:val="0"/>
          <w:bCs w:val="0"/>
        </w:rPr>
        <w:t>预警工作</w:t>
      </w:r>
      <w:bookmarkEnd w:id="35"/>
      <w:bookmarkEnd w:id="36"/>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根据事故发生的紧急程度、发展势态和可能造成的危害程度，预警级别分别为一级、二级、三级和四级，对应辐射事故分级级别，分别用红色、橙色、黄色、蓝色标示，一级为最高级别。根据事态的发展情况和采取措施的效果，预警可以升级、降级或解除。</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进</w:t>
      </w:r>
      <w:r>
        <w:rPr>
          <w:rFonts w:eastAsia="方正仿宋_GBK"/>
          <w:spacing w:val="-9"/>
          <w:sz w:val="32"/>
          <w:szCs w:val="32"/>
        </w:rPr>
        <w:t>入预警状态后，区辐射事故应急指挥部应当采取以下措施：</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根据事件的波及范围、严重程度和事件等级，立即启动相应级别的辐射事故应急预案；</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发布预警公告。及时通过电视、广播、报纸、互联网、手机短信等渠道或方式向本行政区域公众发布预警信息。蓝色预警可由区政府直接发布，黄色、橙色、红色预警或可能引起公众恐慌、影响社会稳定的预警信息需由常州市政府发布或批准；</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sz w:val="32"/>
          <w:szCs w:val="32"/>
        </w:rPr>
        <w:t>转移、撤离或者疏散可能受到危害的人员，并进行妥善安置；</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4</w:t>
      </w:r>
      <w:r>
        <w:rPr>
          <w:rFonts w:hint="eastAsia" w:eastAsia="方正仿宋_GBK"/>
          <w:sz w:val="32"/>
          <w:szCs w:val="32"/>
          <w:lang w:eastAsia="zh-CN"/>
        </w:rPr>
        <w:t>）</w:t>
      </w:r>
      <w:r>
        <w:rPr>
          <w:rFonts w:eastAsia="方正仿宋_GBK"/>
          <w:sz w:val="32"/>
          <w:szCs w:val="32"/>
        </w:rPr>
        <w:t>指令辐射事故应急处置队伍进入应急状态，立即开展应急监测和调查，随时掌握并报告事态进展情况；</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5</w:t>
      </w:r>
      <w:r>
        <w:rPr>
          <w:rFonts w:hint="eastAsia" w:eastAsia="方正仿宋_GBK"/>
          <w:sz w:val="32"/>
          <w:szCs w:val="32"/>
          <w:lang w:eastAsia="zh-CN"/>
        </w:rPr>
        <w:t>）</w:t>
      </w:r>
      <w:r>
        <w:rPr>
          <w:rFonts w:eastAsia="方正仿宋_GBK"/>
          <w:sz w:val="32"/>
          <w:szCs w:val="32"/>
        </w:rPr>
        <w:t>针对辐射事故可能造成的危害，封闭、隔离或者限制使用有关场所，中止可能导致危害扩大的行为和活动；</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6</w:t>
      </w:r>
      <w:r>
        <w:rPr>
          <w:rFonts w:hint="eastAsia" w:eastAsia="方正仿宋_GBK"/>
          <w:sz w:val="32"/>
          <w:szCs w:val="32"/>
          <w:lang w:eastAsia="zh-CN"/>
        </w:rPr>
        <w:t>）</w:t>
      </w:r>
      <w:r>
        <w:rPr>
          <w:rFonts w:eastAsia="方正仿宋_GBK"/>
          <w:sz w:val="32"/>
          <w:szCs w:val="32"/>
        </w:rPr>
        <w:t>调集辐射事故应急所需物资和设备，做好应急保障工作。</w:t>
      </w:r>
    </w:p>
    <w:p>
      <w:pPr>
        <w:pStyle w:val="45"/>
        <w:spacing w:line="570" w:lineRule="exact"/>
        <w:rPr>
          <w:rFonts w:eastAsia="方正黑体_GBK"/>
          <w:b w:val="0"/>
          <w:bCs w:val="0"/>
        </w:rPr>
      </w:pPr>
      <w:bookmarkStart w:id="37" w:name="_Toc448704223"/>
      <w:bookmarkStart w:id="38" w:name="_Toc86220861"/>
      <w:r>
        <w:rPr>
          <w:rFonts w:eastAsia="方正黑体_GBK"/>
          <w:b w:val="0"/>
          <w:bCs w:val="0"/>
        </w:rPr>
        <w:t>5.</w:t>
      </w:r>
      <w:r>
        <w:rPr>
          <w:rFonts w:hint="eastAsia" w:eastAsia="方正黑体_GBK"/>
          <w:b w:val="0"/>
          <w:bCs w:val="0"/>
          <w:lang w:eastAsia="zh-CN"/>
        </w:rPr>
        <w:t>　</w:t>
      </w:r>
      <w:r>
        <w:rPr>
          <w:rFonts w:eastAsia="方正黑体_GBK"/>
          <w:b w:val="0"/>
          <w:bCs w:val="0"/>
        </w:rPr>
        <w:t>应急响应</w:t>
      </w:r>
      <w:bookmarkEnd w:id="37"/>
      <w:bookmarkEnd w:id="38"/>
    </w:p>
    <w:p>
      <w:pPr>
        <w:pStyle w:val="46"/>
        <w:spacing w:line="570" w:lineRule="exact"/>
        <w:rPr>
          <w:rFonts w:eastAsia="方正楷体_GBK"/>
          <w:b w:val="0"/>
          <w:bCs w:val="0"/>
        </w:rPr>
      </w:pPr>
      <w:bookmarkStart w:id="39" w:name="_Toc448704224"/>
      <w:bookmarkStart w:id="40" w:name="_Toc86220862"/>
      <w:r>
        <w:rPr>
          <w:rFonts w:eastAsia="方正楷体_GBK"/>
          <w:b w:val="0"/>
          <w:bCs w:val="0"/>
        </w:rPr>
        <w:t>5.1</w:t>
      </w:r>
      <w:r>
        <w:rPr>
          <w:rFonts w:hint="eastAsia" w:eastAsia="方正楷体_GBK"/>
          <w:b w:val="0"/>
          <w:bCs w:val="0"/>
          <w:lang w:eastAsia="zh-CN"/>
        </w:rPr>
        <w:t>　</w:t>
      </w:r>
      <w:r>
        <w:rPr>
          <w:rFonts w:eastAsia="方正楷体_GBK"/>
          <w:b w:val="0"/>
          <w:bCs w:val="0"/>
        </w:rPr>
        <w:t>信息报送与处理</w:t>
      </w:r>
      <w:bookmarkEnd w:id="39"/>
      <w:bookmarkEnd w:id="40"/>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5.1.1</w:t>
      </w:r>
      <w:r>
        <w:rPr>
          <w:rFonts w:hint="eastAsia" w:eastAsia="方正仿宋_GBK"/>
          <w:b/>
          <w:bCs w:val="0"/>
          <w:sz w:val="32"/>
          <w:szCs w:val="32"/>
          <w:lang w:eastAsia="zh-CN"/>
        </w:rPr>
        <w:t>　</w:t>
      </w:r>
      <w:r>
        <w:rPr>
          <w:rFonts w:eastAsia="方正仿宋_GBK"/>
          <w:b/>
          <w:bCs w:val="0"/>
          <w:sz w:val="32"/>
          <w:szCs w:val="32"/>
        </w:rPr>
        <w:t>信息来源</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辐射技术应用单位及其上级单位报告；</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天宁生态环境局、天宁</w:t>
      </w:r>
      <w:r>
        <w:rPr>
          <w:rFonts w:hint="eastAsia" w:eastAsia="方正仿宋_GBK"/>
          <w:sz w:val="32"/>
          <w:szCs w:val="32"/>
        </w:rPr>
        <w:t>公安</w:t>
      </w:r>
      <w:r>
        <w:rPr>
          <w:rFonts w:eastAsia="方正仿宋_GBK"/>
          <w:sz w:val="32"/>
          <w:szCs w:val="32"/>
        </w:rPr>
        <w:t>分局、区卫生健康局等部门发现；</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sz w:val="32"/>
          <w:szCs w:val="32"/>
        </w:rPr>
        <w:t>其他。</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5.1.2</w:t>
      </w:r>
      <w:r>
        <w:rPr>
          <w:rFonts w:hint="eastAsia" w:eastAsia="方正仿宋_GBK"/>
          <w:b/>
          <w:bCs w:val="0"/>
          <w:sz w:val="32"/>
          <w:szCs w:val="32"/>
          <w:lang w:eastAsia="zh-CN"/>
        </w:rPr>
        <w:t>　</w:t>
      </w:r>
      <w:r>
        <w:rPr>
          <w:rFonts w:eastAsia="方正仿宋_GBK"/>
          <w:b/>
          <w:bCs w:val="0"/>
          <w:sz w:val="32"/>
          <w:szCs w:val="32"/>
        </w:rPr>
        <w:t>信息分类</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Ⅰ类、Ⅱ类放射源丢失、被盗、失控；</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Ⅲ类放射源丢失、被盗、失控；</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sz w:val="32"/>
          <w:szCs w:val="32"/>
        </w:rPr>
        <w:t>Ⅳ类、Ⅴ类放射源丢失、被盗、失控；</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4</w:t>
      </w:r>
      <w:r>
        <w:rPr>
          <w:rFonts w:hint="eastAsia" w:eastAsia="方正仿宋_GBK"/>
          <w:sz w:val="32"/>
          <w:szCs w:val="32"/>
          <w:lang w:eastAsia="zh-CN"/>
        </w:rPr>
        <w:t>）</w:t>
      </w:r>
      <w:r>
        <w:rPr>
          <w:rFonts w:eastAsia="方正仿宋_GBK"/>
          <w:sz w:val="32"/>
          <w:szCs w:val="32"/>
        </w:rPr>
        <w:t>放射性同位素和射线装置失控；</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5</w:t>
      </w:r>
      <w:r>
        <w:rPr>
          <w:rFonts w:hint="eastAsia" w:eastAsia="方正仿宋_GBK"/>
          <w:sz w:val="32"/>
          <w:szCs w:val="32"/>
          <w:lang w:eastAsia="zh-CN"/>
        </w:rPr>
        <w:t>）</w:t>
      </w:r>
      <w:r>
        <w:rPr>
          <w:rFonts w:eastAsia="方正仿宋_GBK"/>
          <w:sz w:val="32"/>
          <w:szCs w:val="32"/>
        </w:rPr>
        <w:t>放射性物质泄漏造成的辐射污染事故；</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6</w:t>
      </w:r>
      <w:r>
        <w:rPr>
          <w:rFonts w:hint="eastAsia" w:eastAsia="方正仿宋_GBK"/>
          <w:sz w:val="32"/>
          <w:szCs w:val="32"/>
          <w:lang w:eastAsia="zh-CN"/>
        </w:rPr>
        <w:t>）</w:t>
      </w:r>
      <w:r>
        <w:rPr>
          <w:rFonts w:eastAsia="方正仿宋_GBK"/>
          <w:sz w:val="32"/>
          <w:szCs w:val="32"/>
        </w:rPr>
        <w:t>放射性物质运输中发生事故；</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7</w:t>
      </w:r>
      <w:r>
        <w:rPr>
          <w:rFonts w:hint="eastAsia" w:eastAsia="方正仿宋_GBK"/>
          <w:sz w:val="32"/>
          <w:szCs w:val="32"/>
          <w:lang w:eastAsia="zh-CN"/>
        </w:rPr>
        <w:t>）</w:t>
      </w:r>
      <w:r>
        <w:rPr>
          <w:rFonts w:eastAsia="方正仿宋_GBK"/>
          <w:sz w:val="32"/>
          <w:szCs w:val="32"/>
        </w:rPr>
        <w:t>可能对我区环境造成辐射影响的区外辐射事故；</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8</w:t>
      </w:r>
      <w:r>
        <w:rPr>
          <w:rFonts w:hint="eastAsia" w:eastAsia="方正仿宋_GBK"/>
          <w:sz w:val="32"/>
          <w:szCs w:val="32"/>
          <w:lang w:eastAsia="zh-CN"/>
        </w:rPr>
        <w:t>）</w:t>
      </w:r>
      <w:r>
        <w:rPr>
          <w:rFonts w:eastAsia="方正仿宋_GBK"/>
          <w:sz w:val="32"/>
          <w:szCs w:val="32"/>
        </w:rPr>
        <w:t>航空器在我区境内坠落造成的环境辐射污染事故；</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9</w:t>
      </w:r>
      <w:r>
        <w:rPr>
          <w:rFonts w:hint="eastAsia" w:eastAsia="方正仿宋_GBK"/>
          <w:sz w:val="32"/>
          <w:szCs w:val="32"/>
          <w:lang w:eastAsia="zh-CN"/>
        </w:rPr>
        <w:t>）</w:t>
      </w:r>
      <w:r>
        <w:rPr>
          <w:rFonts w:eastAsia="方正仿宋_GBK"/>
          <w:sz w:val="32"/>
          <w:szCs w:val="32"/>
        </w:rPr>
        <w:t>各种火灾、重大安全事故和重大自然灾害引发的次生辐射事故。</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5.1.3</w:t>
      </w:r>
      <w:r>
        <w:rPr>
          <w:rFonts w:hint="eastAsia" w:eastAsia="方正仿宋_GBK"/>
          <w:b/>
          <w:bCs w:val="0"/>
          <w:sz w:val="32"/>
          <w:szCs w:val="32"/>
          <w:lang w:eastAsia="zh-CN"/>
        </w:rPr>
        <w:t>　</w:t>
      </w:r>
      <w:r>
        <w:rPr>
          <w:rFonts w:eastAsia="方正仿宋_GBK"/>
          <w:b/>
          <w:bCs w:val="0"/>
          <w:sz w:val="32"/>
          <w:szCs w:val="32"/>
        </w:rPr>
        <w:t>信息报送程序和时限</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区辐射事故应急指挥部办公室在接到辐射事故报警后，应立即组织现场核实，核实属实后应初步判断事故级别，并在2小时内报告区政府和市辐射事故应急办，并逐级上报。</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rPr>
          <w:rFonts w:eastAsia="方正仿宋_GBK"/>
          <w:sz w:val="32"/>
          <w:szCs w:val="32"/>
        </w:rPr>
      </w:pPr>
      <w:r>
        <w:rPr>
          <w:rFonts w:eastAsia="方正仿宋_GBK"/>
          <w:sz w:val="32"/>
          <w:szCs w:val="32"/>
        </w:rPr>
        <w:t>信息报送流程见附件2（天宁区辐射事故应急处置流程图）。</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5.1.4</w:t>
      </w:r>
      <w:r>
        <w:rPr>
          <w:rFonts w:hint="eastAsia" w:eastAsia="方正仿宋_GBK"/>
          <w:b/>
          <w:bCs w:val="0"/>
          <w:sz w:val="32"/>
          <w:szCs w:val="32"/>
          <w:lang w:eastAsia="zh-CN"/>
        </w:rPr>
        <w:t>　</w:t>
      </w:r>
      <w:r>
        <w:rPr>
          <w:rFonts w:eastAsia="方正仿宋_GBK"/>
          <w:b/>
          <w:bCs w:val="0"/>
          <w:sz w:val="32"/>
          <w:szCs w:val="32"/>
        </w:rPr>
        <w:t>报告方式与内容</w:t>
      </w:r>
    </w:p>
    <w:p>
      <w:pPr>
        <w:keepNext w:val="0"/>
        <w:keepLines w:val="0"/>
        <w:pageBreakBefore w:val="0"/>
        <w:widowControl w:val="0"/>
        <w:kinsoku/>
        <w:wordWrap/>
        <w:overflowPunct/>
        <w:topLinePunct w:val="0"/>
        <w:autoSpaceDE/>
        <w:autoSpaceDN/>
        <w:bidi w:val="0"/>
        <w:adjustRightInd/>
        <w:snapToGrid/>
        <w:spacing w:line="570" w:lineRule="exact"/>
        <w:ind w:leftChars="0" w:firstLine="650" w:firstLineChars="200"/>
        <w:textAlignment w:val="auto"/>
        <w:rPr>
          <w:rFonts w:eastAsia="方正仿宋_GBK"/>
          <w:sz w:val="32"/>
          <w:szCs w:val="32"/>
        </w:rPr>
      </w:pPr>
      <w:r>
        <w:rPr>
          <w:rFonts w:eastAsia="方正仿宋_GBK"/>
          <w:sz w:val="32"/>
          <w:szCs w:val="32"/>
        </w:rPr>
        <w:t>辐射事故的报告分为初报、续报和处理结果报告三类。</w:t>
      </w:r>
    </w:p>
    <w:p>
      <w:pPr>
        <w:pStyle w:val="44"/>
        <w:keepNext w:val="0"/>
        <w:keepLines w:val="0"/>
        <w:pageBreakBefore w:val="0"/>
        <w:widowControl w:val="0"/>
        <w:numPr>
          <w:ilvl w:val="0"/>
          <w:numId w:val="0"/>
        </w:numPr>
        <w:kinsoku/>
        <w:wordWrap/>
        <w:overflowPunct/>
        <w:topLinePunct w:val="0"/>
        <w:autoSpaceDE/>
        <w:autoSpaceDN/>
        <w:bidi w:val="0"/>
        <w:adjustRightInd/>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b/>
          <w:sz w:val="32"/>
          <w:szCs w:val="32"/>
        </w:rPr>
        <w:t>初报</w:t>
      </w:r>
      <w:r>
        <w:rPr>
          <w:rFonts w:eastAsia="方正仿宋_GBK"/>
          <w:sz w:val="32"/>
          <w:szCs w:val="32"/>
        </w:rPr>
        <w:t>采用书面报告的形式（见附件3），紧急时也可用电话直接报告，随后书面补报。主要内容包括：辐射事故的类型，事故发生时间、地点，污染源类型、污染方式、污染范围，人员受辐射照射等初步情况；</w:t>
      </w:r>
    </w:p>
    <w:p>
      <w:pPr>
        <w:pStyle w:val="44"/>
        <w:keepNext w:val="0"/>
        <w:keepLines w:val="0"/>
        <w:pageBreakBefore w:val="0"/>
        <w:widowControl w:val="0"/>
        <w:numPr>
          <w:ilvl w:val="0"/>
          <w:numId w:val="0"/>
        </w:numPr>
        <w:kinsoku/>
        <w:wordWrap/>
        <w:overflowPunct/>
        <w:topLinePunct w:val="0"/>
        <w:autoSpaceDE/>
        <w:autoSpaceDN/>
        <w:bidi w:val="0"/>
        <w:adjustRightInd/>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b/>
          <w:sz w:val="32"/>
          <w:szCs w:val="32"/>
        </w:rPr>
        <w:t>续报</w:t>
      </w:r>
      <w:r>
        <w:rPr>
          <w:rFonts w:eastAsia="方正仿宋_GBK"/>
          <w:sz w:val="32"/>
          <w:szCs w:val="32"/>
        </w:rPr>
        <w:t>须通过网络或书面报告，在初报的基础上报告有关事故的确切数据，事故发生的原因、过程、进展情况及采取的应急措施等基本情况。事故报告后出现新情况的，应当及时续报。（见附件4）</w:t>
      </w:r>
    </w:p>
    <w:p>
      <w:pPr>
        <w:pStyle w:val="44"/>
        <w:keepNext w:val="0"/>
        <w:keepLines w:val="0"/>
        <w:pageBreakBefore w:val="0"/>
        <w:widowControl w:val="0"/>
        <w:numPr>
          <w:ilvl w:val="0"/>
          <w:numId w:val="0"/>
        </w:numPr>
        <w:kinsoku/>
        <w:wordWrap/>
        <w:overflowPunct/>
        <w:topLinePunct w:val="0"/>
        <w:autoSpaceDE/>
        <w:autoSpaceDN/>
        <w:bidi w:val="0"/>
        <w:adjustRightInd/>
        <w:snapToGrid/>
        <w:spacing w:line="570" w:lineRule="exact"/>
        <w:ind w:leftChars="0" w:firstLine="650" w:firstLineChars="200"/>
        <w:textAlignment w:val="auto"/>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b/>
          <w:sz w:val="32"/>
          <w:szCs w:val="32"/>
        </w:rPr>
        <w:t>处理结果报告</w:t>
      </w:r>
      <w:r>
        <w:rPr>
          <w:rFonts w:eastAsia="方正仿宋_GBK"/>
          <w:sz w:val="32"/>
          <w:szCs w:val="32"/>
        </w:rPr>
        <w:t>采用书面报告，在初报和续报的基础上，报告处理事故采取的应急措施、过程和结果，事故潜在或间接的危害、社会影响、处理后的遗留问题、事故经验教训，参加应急响应工作的有关部门及其工作内容，需开展的善后工作，并填写辐射事故处理结果报告表（见附件5）。</w:t>
      </w:r>
    </w:p>
    <w:p>
      <w:pPr>
        <w:pStyle w:val="46"/>
        <w:keepNext w:val="0"/>
        <w:keepLines w:val="0"/>
        <w:pageBreakBefore w:val="0"/>
        <w:widowControl w:val="0"/>
        <w:kinsoku/>
        <w:wordWrap/>
        <w:overflowPunct/>
        <w:topLinePunct w:val="0"/>
        <w:autoSpaceDE/>
        <w:autoSpaceDN/>
        <w:bidi w:val="0"/>
        <w:adjustRightInd/>
        <w:snapToGrid/>
        <w:spacing w:line="570" w:lineRule="exact"/>
        <w:textAlignment w:val="auto"/>
        <w:rPr>
          <w:rFonts w:eastAsia="方正楷体_GBK"/>
          <w:b w:val="0"/>
          <w:bCs w:val="0"/>
        </w:rPr>
      </w:pPr>
      <w:bookmarkStart w:id="41" w:name="_Toc448704225"/>
      <w:bookmarkStart w:id="42" w:name="_Toc86220863"/>
      <w:r>
        <w:rPr>
          <w:rFonts w:eastAsia="方正楷体_GBK"/>
          <w:b w:val="0"/>
          <w:bCs w:val="0"/>
        </w:rPr>
        <w:t>5.2</w:t>
      </w:r>
      <w:r>
        <w:rPr>
          <w:rFonts w:hint="eastAsia" w:eastAsia="方正楷体_GBK"/>
          <w:b w:val="0"/>
          <w:bCs w:val="0"/>
          <w:lang w:eastAsia="zh-CN"/>
        </w:rPr>
        <w:t>　</w:t>
      </w:r>
      <w:r>
        <w:rPr>
          <w:rFonts w:eastAsia="方正楷体_GBK"/>
          <w:b w:val="0"/>
          <w:bCs w:val="0"/>
        </w:rPr>
        <w:t>分级响应</w:t>
      </w:r>
      <w:bookmarkEnd w:id="41"/>
      <w:bookmarkEnd w:id="42"/>
    </w:p>
    <w:p>
      <w:pPr>
        <w:spacing w:line="570" w:lineRule="exact"/>
        <w:ind w:firstLine="650" w:firstLineChars="200"/>
        <w:rPr>
          <w:rFonts w:eastAsia="方正仿宋_GBK"/>
          <w:sz w:val="32"/>
          <w:szCs w:val="32"/>
        </w:rPr>
      </w:pPr>
      <w:r>
        <w:rPr>
          <w:rFonts w:eastAsia="方正仿宋_GBK"/>
          <w:sz w:val="32"/>
          <w:szCs w:val="32"/>
        </w:rPr>
        <w:t>辐射事故应急响应遵循分级响应、属地管理的原则。</w:t>
      </w:r>
    </w:p>
    <w:p>
      <w:pPr>
        <w:spacing w:line="570" w:lineRule="exact"/>
        <w:ind w:firstLine="650" w:firstLineChars="200"/>
        <w:rPr>
          <w:rFonts w:eastAsia="方正仿宋_GBK"/>
          <w:sz w:val="32"/>
          <w:szCs w:val="32"/>
        </w:rPr>
      </w:pPr>
      <w:r>
        <w:rPr>
          <w:rFonts w:eastAsia="方正仿宋_GBK"/>
          <w:sz w:val="32"/>
          <w:szCs w:val="32"/>
        </w:rPr>
        <w:t>发生辐射事故后，由区辐射事故应急指挥部办公室初步研判事故等级，并在2小时内报告区政府和市辐射事故应急办。区政府在接报后应立即成立区辐射事故应急指挥部，由区辐射事故应急指挥部启动本预案，并根据事故等级组织实施相应的应急处置行动。</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z w:val="32"/>
          <w:szCs w:val="32"/>
        </w:rPr>
      </w:pPr>
      <w:r>
        <w:rPr>
          <w:rFonts w:eastAsia="方正仿宋_GBK"/>
          <w:b/>
          <w:bCs w:val="0"/>
          <w:sz w:val="32"/>
          <w:szCs w:val="32"/>
        </w:rPr>
        <w:t>5.2.1</w:t>
      </w:r>
      <w:r>
        <w:rPr>
          <w:rFonts w:hint="eastAsia" w:eastAsia="方正仿宋_GBK"/>
          <w:b/>
          <w:bCs w:val="0"/>
          <w:sz w:val="32"/>
          <w:szCs w:val="32"/>
          <w:lang w:val="en-US" w:eastAsia="zh-CN"/>
        </w:rPr>
        <w:t>　</w:t>
      </w:r>
      <w:r>
        <w:rPr>
          <w:rFonts w:eastAsia="方正仿宋_GBK"/>
          <w:b/>
          <w:bCs w:val="0"/>
          <w:sz w:val="32"/>
          <w:szCs w:val="32"/>
        </w:rPr>
        <w:t>一般辐射事故（Ⅳ级）应急响应</w:t>
      </w:r>
    </w:p>
    <w:p>
      <w:pPr>
        <w:spacing w:line="570" w:lineRule="exact"/>
        <w:ind w:firstLine="650" w:firstLineChars="200"/>
        <w:rPr>
          <w:rFonts w:eastAsia="方正仿宋_GBK"/>
          <w:sz w:val="32"/>
          <w:szCs w:val="32"/>
        </w:rPr>
      </w:pPr>
      <w:r>
        <w:rPr>
          <w:rFonts w:eastAsia="方正仿宋_GBK"/>
          <w:sz w:val="32"/>
          <w:szCs w:val="32"/>
        </w:rPr>
        <w:t>一般辐射事故经区辐射事故应急指挥部确认后，立即启动本预案，并按下列程序响应：</w:t>
      </w:r>
    </w:p>
    <w:p>
      <w:pPr>
        <w:spacing w:line="570" w:lineRule="exact"/>
        <w:ind w:firstLine="650" w:firstLineChars="200"/>
        <w:rPr>
          <w:rFonts w:eastAsia="方正仿宋_GBK"/>
          <w:sz w:val="32"/>
          <w:szCs w:val="32"/>
        </w:rPr>
      </w:pPr>
      <w:r>
        <w:rPr>
          <w:rFonts w:eastAsia="方正仿宋_GBK"/>
          <w:sz w:val="32"/>
          <w:szCs w:val="32"/>
        </w:rPr>
        <w:t>（1）区辐射事故应急指挥部统一指挥、协调辐射事故应急救援行动，协调相关领导、应急救援队伍和专家在2小时内赶赴事发地现场，成立现场指挥部，组织开展现场应急救援行动，必要时调集事发地周边地区专业应急救援力量实施增援；</w:t>
      </w:r>
    </w:p>
    <w:p>
      <w:pPr>
        <w:spacing w:line="570" w:lineRule="exact"/>
        <w:ind w:firstLine="650" w:firstLineChars="200"/>
        <w:rPr>
          <w:rFonts w:eastAsia="方正仿宋_GBK"/>
          <w:sz w:val="32"/>
          <w:szCs w:val="32"/>
        </w:rPr>
      </w:pPr>
      <w:r>
        <w:rPr>
          <w:rFonts w:eastAsia="方正仿宋_GBK"/>
          <w:sz w:val="32"/>
          <w:szCs w:val="32"/>
        </w:rPr>
        <w:t>（2）现场监测组进行辐射应急监测并划定受污染区域、确定受超剂量照射人员或其他需要提供医疗救援的人员；</w:t>
      </w:r>
    </w:p>
    <w:p>
      <w:pPr>
        <w:spacing w:line="570" w:lineRule="exact"/>
        <w:ind w:firstLine="650" w:firstLineChars="200"/>
        <w:rPr>
          <w:rFonts w:eastAsia="方正仿宋_GBK"/>
          <w:sz w:val="32"/>
          <w:szCs w:val="32"/>
        </w:rPr>
      </w:pPr>
      <w:r>
        <w:rPr>
          <w:rFonts w:eastAsia="方正仿宋_GBK"/>
          <w:sz w:val="32"/>
          <w:szCs w:val="32"/>
        </w:rPr>
        <w:t>（3）现场指挥部有权采取以下临时控制措施：责令停止导致或者可能导致辐射事故的作业；组织控制事故现场；发出警告、报警和指令；当干预水平达到相应限值时，实施让公众进入室内或留在室内、隐蔽、撤离的措施；受影响的地区的交通管制、治安保卫；控制受放射性污染的农副产品、食品和饮用水等；</w:t>
      </w:r>
    </w:p>
    <w:p>
      <w:pPr>
        <w:spacing w:line="570" w:lineRule="exact"/>
        <w:ind w:firstLine="650" w:firstLineChars="200"/>
        <w:rPr>
          <w:rFonts w:eastAsia="方正仿宋_GBK"/>
          <w:sz w:val="32"/>
          <w:szCs w:val="32"/>
        </w:rPr>
      </w:pPr>
      <w:r>
        <w:rPr>
          <w:rFonts w:eastAsia="方正仿宋_GBK"/>
          <w:sz w:val="32"/>
          <w:szCs w:val="32"/>
        </w:rPr>
        <w:t>（4）专家组参与事故等级的评定、事故危害程度和范围的确定、应急措施的建议和事故后果的评估等工作；</w:t>
      </w:r>
    </w:p>
    <w:p>
      <w:pPr>
        <w:spacing w:line="570" w:lineRule="exact"/>
        <w:ind w:firstLine="650" w:firstLineChars="200"/>
        <w:rPr>
          <w:rFonts w:eastAsia="方正仿宋_GBK"/>
          <w:sz w:val="32"/>
          <w:szCs w:val="32"/>
        </w:rPr>
      </w:pPr>
      <w:r>
        <w:rPr>
          <w:rFonts w:eastAsia="方正仿宋_GBK"/>
          <w:sz w:val="32"/>
          <w:szCs w:val="32"/>
        </w:rPr>
        <w:t>（5）区辐射事故应急指挥部将辐射事故的基本情况、事故影响程度和应急处置情况上报区政府和市辐射事故应急办，并视情况请求市辐射事故应急办支援。</w:t>
      </w:r>
    </w:p>
    <w:p>
      <w:pPr>
        <w:keepNext w:val="0"/>
        <w:keepLines w:val="0"/>
        <w:pageBreakBefore w:val="0"/>
        <w:widowControl w:val="0"/>
        <w:kinsoku/>
        <w:wordWrap/>
        <w:overflowPunct/>
        <w:topLinePunct w:val="0"/>
        <w:autoSpaceDE/>
        <w:autoSpaceDN/>
        <w:bidi w:val="0"/>
        <w:adjustRightInd/>
        <w:snapToGrid/>
        <w:spacing w:line="570" w:lineRule="exact"/>
        <w:ind w:firstLine="650" w:firstLineChars="200"/>
        <w:textAlignment w:val="auto"/>
        <w:outlineLvl w:val="2"/>
        <w:rPr>
          <w:rFonts w:eastAsia="方正仿宋_GBK"/>
          <w:b/>
          <w:bCs w:val="0"/>
          <w:spacing w:val="-6"/>
          <w:sz w:val="32"/>
          <w:szCs w:val="32"/>
        </w:rPr>
      </w:pPr>
      <w:r>
        <w:rPr>
          <w:rFonts w:eastAsia="方正仿宋_GBK"/>
          <w:b/>
          <w:bCs w:val="0"/>
          <w:sz w:val="32"/>
          <w:szCs w:val="32"/>
        </w:rPr>
        <w:t>5.2.</w:t>
      </w:r>
      <w:r>
        <w:rPr>
          <w:rFonts w:hint="eastAsia" w:eastAsia="方正仿宋_GBK"/>
          <w:b/>
          <w:bCs w:val="0"/>
          <w:sz w:val="32"/>
          <w:szCs w:val="32"/>
          <w:lang w:val="en-US" w:eastAsia="zh-CN"/>
        </w:rPr>
        <w:t>2</w:t>
      </w:r>
      <w:r>
        <w:rPr>
          <w:rFonts w:hint="eastAsia" w:eastAsia="方正仿宋_GBK"/>
          <w:b/>
          <w:bCs w:val="0"/>
          <w:sz w:val="32"/>
          <w:szCs w:val="32"/>
          <w:lang w:eastAsia="zh-CN"/>
        </w:rPr>
        <w:t>　</w:t>
      </w:r>
      <w:r>
        <w:rPr>
          <w:rFonts w:eastAsia="方正仿宋_GBK"/>
          <w:b/>
          <w:bCs w:val="0"/>
          <w:sz w:val="32"/>
          <w:szCs w:val="32"/>
        </w:rPr>
        <w:t>较</w:t>
      </w:r>
      <w:r>
        <w:rPr>
          <w:rFonts w:eastAsia="方正仿宋_GBK"/>
          <w:b/>
          <w:bCs w:val="0"/>
          <w:spacing w:val="-6"/>
          <w:sz w:val="32"/>
          <w:szCs w:val="32"/>
        </w:rPr>
        <w:t>大以上辐射事故（Ⅰ级、Ⅱ级、Ⅲ级）应急响应</w:t>
      </w:r>
    </w:p>
    <w:p>
      <w:pPr>
        <w:spacing w:line="570" w:lineRule="exact"/>
        <w:ind w:firstLine="650" w:firstLineChars="200"/>
        <w:rPr>
          <w:rFonts w:eastAsia="方正仿宋_GBK"/>
          <w:sz w:val="32"/>
          <w:szCs w:val="32"/>
        </w:rPr>
      </w:pPr>
      <w:r>
        <w:rPr>
          <w:rFonts w:eastAsia="方正仿宋_GBK"/>
          <w:sz w:val="32"/>
          <w:szCs w:val="32"/>
        </w:rPr>
        <w:t>较大以上辐射事故经区辐射事故应急指挥部确认后，立即启动本预案，组织、指挥开展先期处置工作，防止辐射污染蔓延，全力控制事态扩大。在采取 IV 级响应措施的基础上，建立与省、常州市辐射事故应急指挥部的通信联络，随时报告事故进展情况。省、常州市应急预案启动后，区辐射事故应急指挥部在省、常州市辐射事故应急指挥部的统一领导下开展应急处置，并保持通信联络，随时掌握事故进展情况。</w:t>
      </w:r>
    </w:p>
    <w:p>
      <w:pPr>
        <w:pStyle w:val="46"/>
        <w:spacing w:line="570" w:lineRule="exact"/>
        <w:rPr>
          <w:rFonts w:eastAsia="方正楷体_GBK"/>
          <w:b w:val="0"/>
          <w:bCs w:val="0"/>
        </w:rPr>
      </w:pPr>
      <w:bookmarkStart w:id="43" w:name="_Toc448704226"/>
      <w:bookmarkStart w:id="44" w:name="_Toc86220864"/>
      <w:r>
        <w:rPr>
          <w:rFonts w:eastAsia="方正楷体_GBK"/>
          <w:b w:val="0"/>
          <w:bCs w:val="0"/>
        </w:rPr>
        <w:t>5.3</w:t>
      </w:r>
      <w:r>
        <w:rPr>
          <w:rFonts w:hint="eastAsia" w:eastAsia="方正楷体_GBK"/>
          <w:b w:val="0"/>
          <w:bCs w:val="0"/>
          <w:lang w:eastAsia="zh-CN"/>
        </w:rPr>
        <w:t>　</w:t>
      </w:r>
      <w:r>
        <w:rPr>
          <w:rFonts w:eastAsia="方正楷体_GBK"/>
          <w:b w:val="0"/>
          <w:bCs w:val="0"/>
        </w:rPr>
        <w:t>应急监测</w:t>
      </w:r>
      <w:bookmarkEnd w:id="43"/>
      <w:bookmarkEnd w:id="44"/>
    </w:p>
    <w:p>
      <w:pPr>
        <w:spacing w:line="570" w:lineRule="exact"/>
        <w:ind w:firstLine="650" w:firstLineChars="200"/>
        <w:rPr>
          <w:rFonts w:eastAsia="方正仿宋_GBK"/>
          <w:sz w:val="32"/>
          <w:szCs w:val="32"/>
        </w:rPr>
      </w:pPr>
      <w:bookmarkStart w:id="45" w:name="_Toc179688587"/>
      <w:r>
        <w:rPr>
          <w:rFonts w:eastAsia="方正仿宋_GBK"/>
          <w:sz w:val="32"/>
          <w:szCs w:val="32"/>
        </w:rPr>
        <w:t>现场监测组和现场处置组应在第一时间赶赴现场协调开展应急监测，初步判明污染情况，提出处置和安全防护建议，能力不足时请求</w:t>
      </w:r>
      <w:r>
        <w:rPr>
          <w:rFonts w:hint="eastAsia" w:eastAsia="方正仿宋_GBK"/>
          <w:sz w:val="32"/>
          <w:szCs w:val="32"/>
        </w:rPr>
        <w:t>上级</w:t>
      </w:r>
      <w:r>
        <w:rPr>
          <w:rFonts w:eastAsia="方正仿宋_GBK"/>
          <w:sz w:val="32"/>
          <w:szCs w:val="32"/>
        </w:rPr>
        <w:t>或第三方辐射监测机构提供辐射环境应急监测和处置技术支援。</w:t>
      </w:r>
    </w:p>
    <w:p>
      <w:pPr>
        <w:pStyle w:val="46"/>
        <w:spacing w:line="570" w:lineRule="exact"/>
        <w:rPr>
          <w:rFonts w:eastAsia="方正楷体_GBK"/>
          <w:b w:val="0"/>
          <w:bCs w:val="0"/>
        </w:rPr>
      </w:pPr>
      <w:bookmarkStart w:id="46" w:name="_Toc86220865"/>
      <w:bookmarkStart w:id="47" w:name="_Toc448704227"/>
      <w:r>
        <w:rPr>
          <w:rFonts w:eastAsia="方正楷体_GBK"/>
          <w:b w:val="0"/>
          <w:bCs w:val="0"/>
        </w:rPr>
        <w:t>5.4</w:t>
      </w:r>
      <w:r>
        <w:rPr>
          <w:rFonts w:hint="eastAsia" w:eastAsia="方正楷体_GBK"/>
          <w:b w:val="0"/>
          <w:bCs w:val="0"/>
          <w:lang w:eastAsia="zh-CN"/>
        </w:rPr>
        <w:t>　</w:t>
      </w:r>
      <w:r>
        <w:rPr>
          <w:rFonts w:eastAsia="方正楷体_GBK"/>
          <w:b w:val="0"/>
          <w:bCs w:val="0"/>
        </w:rPr>
        <w:t>安全防护</w:t>
      </w:r>
      <w:bookmarkEnd w:id="46"/>
      <w:bookmarkEnd w:id="47"/>
    </w:p>
    <w:p>
      <w:pPr>
        <w:pStyle w:val="48"/>
        <w:keepNext/>
        <w:keepLines/>
        <w:pageBreakBefore w:val="0"/>
        <w:widowControl w:val="0"/>
        <w:kinsoku/>
        <w:wordWrap/>
        <w:overflowPunct/>
        <w:topLinePunct w:val="0"/>
        <w:autoSpaceDE/>
        <w:autoSpaceDN/>
        <w:bidi w:val="0"/>
        <w:adjustRightInd/>
        <w:snapToGrid/>
        <w:spacing w:line="570" w:lineRule="exact"/>
        <w:ind w:firstLine="650" w:firstLineChars="200"/>
        <w:textAlignment w:val="auto"/>
        <w:rPr>
          <w:rFonts w:ascii="Times New Roman" w:hAnsi="Times New Roman" w:eastAsia="方正仿宋_GBK" w:cs="Times New Roman"/>
          <w:b/>
          <w:bCs w:val="0"/>
          <w:kern w:val="2"/>
          <w:sz w:val="32"/>
          <w:szCs w:val="32"/>
          <w:lang w:val="en-US" w:eastAsia="zh-CN" w:bidi="ar-SA"/>
        </w:rPr>
      </w:pPr>
      <w:r>
        <w:rPr>
          <w:rFonts w:ascii="Times New Roman" w:hAnsi="Times New Roman" w:eastAsia="方正仿宋_GBK" w:cs="Times New Roman"/>
          <w:b/>
          <w:bCs w:val="0"/>
          <w:kern w:val="2"/>
          <w:sz w:val="32"/>
          <w:szCs w:val="32"/>
          <w:lang w:val="en-US" w:eastAsia="zh-CN" w:bidi="ar-SA"/>
        </w:rPr>
        <w:t>5.4.1</w:t>
      </w:r>
      <w:r>
        <w:rPr>
          <w:rFonts w:hint="eastAsia" w:ascii="Times New Roman" w:hAnsi="Times New Roman" w:eastAsia="方正仿宋_GBK" w:cs="Times New Roman"/>
          <w:b/>
          <w:bCs w:val="0"/>
          <w:kern w:val="2"/>
          <w:sz w:val="32"/>
          <w:szCs w:val="32"/>
          <w:lang w:val="en-US" w:eastAsia="zh-CN" w:bidi="ar-SA"/>
        </w:rPr>
        <w:t>　</w:t>
      </w:r>
      <w:r>
        <w:rPr>
          <w:rFonts w:ascii="Times New Roman" w:hAnsi="Times New Roman" w:eastAsia="方正仿宋_GBK" w:cs="Times New Roman"/>
          <w:b/>
          <w:bCs w:val="0"/>
          <w:kern w:val="2"/>
          <w:sz w:val="32"/>
          <w:szCs w:val="32"/>
          <w:lang w:val="en-US" w:eastAsia="zh-CN" w:bidi="ar-SA"/>
        </w:rPr>
        <w:t>应急人员的安全防护</w:t>
      </w:r>
    </w:p>
    <w:p>
      <w:pPr>
        <w:spacing w:line="570" w:lineRule="exact"/>
        <w:ind w:firstLine="650" w:firstLineChars="200"/>
        <w:rPr>
          <w:rFonts w:eastAsia="方正仿宋_GBK"/>
          <w:sz w:val="32"/>
          <w:szCs w:val="32"/>
        </w:rPr>
      </w:pPr>
      <w:r>
        <w:rPr>
          <w:rFonts w:eastAsia="方正仿宋_GBK"/>
          <w:sz w:val="32"/>
          <w:szCs w:val="32"/>
        </w:rPr>
        <w:t>辐射事故现场应急处置人员必须根据不同类型的辐射事故特点配备相应的辐射防护装备，采取安全防护措施，严格执行出入事发现场安全保卫和防护程序。</w:t>
      </w:r>
    </w:p>
    <w:p>
      <w:pPr>
        <w:pStyle w:val="48"/>
        <w:keepNext/>
        <w:keepLines/>
        <w:pageBreakBefore w:val="0"/>
        <w:widowControl w:val="0"/>
        <w:kinsoku/>
        <w:wordWrap/>
        <w:overflowPunct/>
        <w:topLinePunct w:val="0"/>
        <w:autoSpaceDE/>
        <w:autoSpaceDN/>
        <w:bidi w:val="0"/>
        <w:adjustRightInd/>
        <w:snapToGrid/>
        <w:spacing w:line="570" w:lineRule="exact"/>
        <w:ind w:firstLine="650" w:firstLineChars="200"/>
        <w:textAlignment w:val="auto"/>
        <w:rPr>
          <w:rFonts w:ascii="Times New Roman" w:hAnsi="Times New Roman" w:eastAsia="方正仿宋_GBK" w:cs="Times New Roman"/>
          <w:b/>
          <w:bCs w:val="0"/>
          <w:kern w:val="2"/>
          <w:sz w:val="32"/>
          <w:szCs w:val="32"/>
          <w:lang w:val="en-US" w:eastAsia="zh-CN" w:bidi="ar-SA"/>
        </w:rPr>
      </w:pPr>
      <w:r>
        <w:rPr>
          <w:rFonts w:ascii="Times New Roman" w:hAnsi="Times New Roman" w:eastAsia="方正仿宋_GBK" w:cs="Times New Roman"/>
          <w:b/>
          <w:bCs w:val="0"/>
          <w:kern w:val="2"/>
          <w:sz w:val="32"/>
          <w:szCs w:val="32"/>
          <w:lang w:val="en-US" w:eastAsia="zh-CN" w:bidi="ar-SA"/>
        </w:rPr>
        <w:t>5.4.2</w:t>
      </w:r>
      <w:r>
        <w:rPr>
          <w:rFonts w:hint="eastAsia" w:ascii="Times New Roman" w:hAnsi="Times New Roman" w:eastAsia="方正仿宋_GBK" w:cs="Times New Roman"/>
          <w:b/>
          <w:bCs w:val="0"/>
          <w:kern w:val="2"/>
          <w:sz w:val="32"/>
          <w:szCs w:val="32"/>
          <w:lang w:val="en-US" w:eastAsia="zh-CN" w:bidi="ar-SA"/>
        </w:rPr>
        <w:t>　</w:t>
      </w:r>
      <w:r>
        <w:rPr>
          <w:rFonts w:ascii="Times New Roman" w:hAnsi="Times New Roman" w:eastAsia="方正仿宋_GBK" w:cs="Times New Roman"/>
          <w:b/>
          <w:bCs w:val="0"/>
          <w:kern w:val="2"/>
          <w:sz w:val="32"/>
          <w:szCs w:val="32"/>
          <w:lang w:val="en-US" w:eastAsia="zh-CN" w:bidi="ar-SA"/>
        </w:rPr>
        <w:t>公众的安全防护</w:t>
      </w:r>
    </w:p>
    <w:p>
      <w:pPr>
        <w:spacing w:line="570" w:lineRule="exact"/>
        <w:ind w:firstLine="650" w:firstLineChars="200"/>
        <w:rPr>
          <w:rFonts w:eastAsia="方正仿宋_GBK"/>
          <w:sz w:val="32"/>
          <w:szCs w:val="32"/>
        </w:rPr>
      </w:pPr>
      <w:r>
        <w:rPr>
          <w:rFonts w:eastAsia="方正仿宋_GBK"/>
          <w:sz w:val="32"/>
          <w:szCs w:val="32"/>
        </w:rPr>
        <w:t>现场协调组负责对可能受辐射事故影响区域的公众采取安全防护措施。</w:t>
      </w:r>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根据辐射事故的性质、特点，告知群众应采取的安全防护措施，条件允许和必要时，尽可能提供防护物品；</w:t>
      </w:r>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根据事发时当地的气象、地理环境、人员密集度等情况，明确污染控制范围，确定公众疏散的方式，指定有关部门组织人群安全疏散撤离；</w:t>
      </w:r>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sz w:val="32"/>
          <w:szCs w:val="32"/>
        </w:rPr>
        <w:t>必要时，配合省辐射事故应急指挥机构对易失控的放射源实施收贮；</w:t>
      </w:r>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4</w:t>
      </w:r>
      <w:r>
        <w:rPr>
          <w:rFonts w:hint="eastAsia" w:eastAsia="方正仿宋_GBK"/>
          <w:sz w:val="32"/>
          <w:szCs w:val="32"/>
          <w:lang w:eastAsia="zh-CN"/>
        </w:rPr>
        <w:t>）</w:t>
      </w:r>
      <w:r>
        <w:rPr>
          <w:rFonts w:eastAsia="方正仿宋_GBK"/>
          <w:sz w:val="32"/>
          <w:szCs w:val="32"/>
        </w:rPr>
        <w:t>在事发地安全边界之外，设立紧急避难场所。</w:t>
      </w:r>
    </w:p>
    <w:p>
      <w:pPr>
        <w:pStyle w:val="46"/>
        <w:spacing w:line="570" w:lineRule="exact"/>
        <w:rPr>
          <w:rFonts w:eastAsia="方正楷体_GBK"/>
          <w:b w:val="0"/>
          <w:bCs w:val="0"/>
        </w:rPr>
      </w:pPr>
      <w:bookmarkStart w:id="48" w:name="_Toc86220866"/>
      <w:bookmarkStart w:id="49" w:name="_Toc448704228"/>
      <w:r>
        <w:rPr>
          <w:rFonts w:eastAsia="方正楷体_GBK"/>
          <w:b w:val="0"/>
          <w:bCs w:val="0"/>
        </w:rPr>
        <w:t>5.5</w:t>
      </w:r>
      <w:r>
        <w:rPr>
          <w:rFonts w:hint="eastAsia" w:eastAsia="方正楷体_GBK"/>
          <w:b w:val="0"/>
          <w:bCs w:val="0"/>
          <w:lang w:val="en-US" w:eastAsia="zh-CN"/>
        </w:rPr>
        <w:t>　</w:t>
      </w:r>
      <w:r>
        <w:rPr>
          <w:rFonts w:eastAsia="方正楷体_GBK"/>
          <w:b w:val="0"/>
          <w:bCs w:val="0"/>
        </w:rPr>
        <w:t>通信联络</w:t>
      </w:r>
      <w:bookmarkEnd w:id="48"/>
      <w:bookmarkEnd w:id="49"/>
    </w:p>
    <w:p>
      <w:pPr>
        <w:spacing w:line="570" w:lineRule="exact"/>
        <w:ind w:firstLine="650" w:firstLineChars="200"/>
        <w:rPr>
          <w:rFonts w:eastAsia="方正仿宋_GBK"/>
          <w:sz w:val="32"/>
          <w:szCs w:val="32"/>
        </w:rPr>
      </w:pPr>
      <w:r>
        <w:rPr>
          <w:rFonts w:eastAsia="方正仿宋_GBK"/>
          <w:sz w:val="32"/>
          <w:szCs w:val="32"/>
        </w:rPr>
        <w:t>区辐射事故应急指挥部办公室负责应急响应期间的通信联络，保证通信渠道畅通，确保区辐射事故应急指挥部与上级部门、各现场处置小组、事故责任单位之间的及时联络和信息交流。</w:t>
      </w:r>
    </w:p>
    <w:p>
      <w:pPr>
        <w:pStyle w:val="46"/>
        <w:spacing w:line="570" w:lineRule="exact"/>
        <w:rPr>
          <w:rFonts w:eastAsia="方正楷体_GBK"/>
          <w:b w:val="0"/>
          <w:bCs w:val="0"/>
        </w:rPr>
      </w:pPr>
      <w:bookmarkStart w:id="50" w:name="_Toc86220867"/>
      <w:bookmarkStart w:id="51" w:name="_Toc448704229"/>
      <w:r>
        <w:rPr>
          <w:rFonts w:eastAsia="方正楷体_GBK"/>
          <w:b w:val="0"/>
          <w:bCs w:val="0"/>
        </w:rPr>
        <w:t>5.6</w:t>
      </w:r>
      <w:r>
        <w:rPr>
          <w:rFonts w:hint="eastAsia" w:eastAsia="方正楷体_GBK"/>
          <w:b w:val="0"/>
          <w:bCs w:val="0"/>
          <w:lang w:eastAsia="zh-CN"/>
        </w:rPr>
        <w:t>　</w:t>
      </w:r>
      <w:r>
        <w:rPr>
          <w:rFonts w:eastAsia="方正楷体_GBK"/>
          <w:b w:val="0"/>
          <w:bCs w:val="0"/>
        </w:rPr>
        <w:t>事故通报与信息发布</w:t>
      </w:r>
      <w:bookmarkEnd w:id="50"/>
      <w:bookmarkEnd w:id="51"/>
    </w:p>
    <w:p>
      <w:pPr>
        <w:pStyle w:val="48"/>
        <w:keepNext/>
        <w:keepLines/>
        <w:pageBreakBefore w:val="0"/>
        <w:widowControl w:val="0"/>
        <w:kinsoku/>
        <w:wordWrap/>
        <w:overflowPunct/>
        <w:topLinePunct w:val="0"/>
        <w:autoSpaceDE/>
        <w:autoSpaceDN/>
        <w:bidi w:val="0"/>
        <w:adjustRightInd/>
        <w:snapToGrid/>
        <w:spacing w:line="570" w:lineRule="exact"/>
        <w:ind w:firstLine="650" w:firstLineChars="200"/>
        <w:textAlignment w:val="auto"/>
        <w:rPr>
          <w:rFonts w:ascii="Times New Roman" w:hAnsi="Times New Roman" w:eastAsia="方正仿宋_GBK" w:cs="Times New Roman"/>
          <w:b/>
          <w:bCs w:val="0"/>
          <w:kern w:val="2"/>
          <w:sz w:val="32"/>
          <w:szCs w:val="32"/>
          <w:lang w:val="en-US" w:eastAsia="zh-CN" w:bidi="ar-SA"/>
        </w:rPr>
      </w:pPr>
      <w:r>
        <w:rPr>
          <w:rFonts w:ascii="Times New Roman" w:hAnsi="Times New Roman" w:eastAsia="方正仿宋_GBK" w:cs="Times New Roman"/>
          <w:b/>
          <w:bCs w:val="0"/>
          <w:kern w:val="2"/>
          <w:sz w:val="32"/>
          <w:szCs w:val="32"/>
          <w:lang w:val="en-US" w:eastAsia="zh-CN" w:bidi="ar-SA"/>
        </w:rPr>
        <w:t>5.6.1</w:t>
      </w:r>
      <w:r>
        <w:rPr>
          <w:rFonts w:hint="eastAsia" w:ascii="Times New Roman" w:hAnsi="Times New Roman" w:eastAsia="方正仿宋_GBK" w:cs="Times New Roman"/>
          <w:b/>
          <w:bCs w:val="0"/>
          <w:kern w:val="2"/>
          <w:sz w:val="32"/>
          <w:szCs w:val="32"/>
          <w:lang w:val="en-US" w:eastAsia="zh-CN" w:bidi="ar-SA"/>
        </w:rPr>
        <w:t>　</w:t>
      </w:r>
      <w:r>
        <w:rPr>
          <w:rFonts w:ascii="Times New Roman" w:hAnsi="Times New Roman" w:eastAsia="方正仿宋_GBK" w:cs="Times New Roman"/>
          <w:b/>
          <w:bCs w:val="0"/>
          <w:kern w:val="2"/>
          <w:sz w:val="32"/>
          <w:szCs w:val="32"/>
          <w:lang w:val="en-US" w:eastAsia="zh-CN" w:bidi="ar-SA"/>
        </w:rPr>
        <w:t>事故通报</w:t>
      </w:r>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区辐射事故应急指挥部在应急响应的同时，应及时向毗邻和可能波及的其他市、区级辐射事故应急领导机构通报情况；</w:t>
      </w:r>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接到外市、本市其他辖市区辐射事故通报时，区辐射事故应急指挥部应视情况及时启动应急预案，采取必要的应对措施，并向区政府和市辐射事故应急办报告。</w:t>
      </w:r>
    </w:p>
    <w:p>
      <w:pPr>
        <w:pStyle w:val="48"/>
        <w:keepNext/>
        <w:keepLines/>
        <w:pageBreakBefore w:val="0"/>
        <w:widowControl w:val="0"/>
        <w:kinsoku/>
        <w:wordWrap/>
        <w:overflowPunct/>
        <w:topLinePunct w:val="0"/>
        <w:autoSpaceDE/>
        <w:autoSpaceDN/>
        <w:bidi w:val="0"/>
        <w:adjustRightInd/>
        <w:snapToGrid/>
        <w:spacing w:line="570" w:lineRule="exact"/>
        <w:ind w:firstLine="650" w:firstLineChars="200"/>
        <w:textAlignment w:val="auto"/>
        <w:rPr>
          <w:rFonts w:ascii="Times New Roman" w:hAnsi="Times New Roman" w:eastAsia="方正仿宋_GBK" w:cs="Times New Roman"/>
          <w:b/>
          <w:bCs w:val="0"/>
          <w:kern w:val="2"/>
          <w:sz w:val="32"/>
          <w:szCs w:val="32"/>
          <w:lang w:val="en-US" w:eastAsia="zh-CN" w:bidi="ar-SA"/>
        </w:rPr>
      </w:pPr>
      <w:r>
        <w:rPr>
          <w:rFonts w:ascii="Times New Roman" w:hAnsi="Times New Roman" w:eastAsia="方正仿宋_GBK" w:cs="Times New Roman"/>
          <w:b/>
          <w:bCs w:val="0"/>
          <w:kern w:val="2"/>
          <w:sz w:val="32"/>
          <w:szCs w:val="32"/>
          <w:lang w:val="en-US" w:eastAsia="zh-CN" w:bidi="ar-SA"/>
        </w:rPr>
        <w:t>5.6.2</w:t>
      </w:r>
      <w:r>
        <w:rPr>
          <w:rFonts w:hint="eastAsia" w:ascii="Times New Roman" w:hAnsi="Times New Roman" w:eastAsia="方正仿宋_GBK" w:cs="Times New Roman"/>
          <w:b/>
          <w:bCs w:val="0"/>
          <w:kern w:val="2"/>
          <w:sz w:val="32"/>
          <w:szCs w:val="32"/>
          <w:lang w:val="en-US" w:eastAsia="zh-CN" w:bidi="ar-SA"/>
        </w:rPr>
        <w:t>　</w:t>
      </w:r>
      <w:r>
        <w:rPr>
          <w:rFonts w:ascii="Times New Roman" w:hAnsi="Times New Roman" w:eastAsia="方正仿宋_GBK" w:cs="Times New Roman"/>
          <w:b/>
          <w:bCs w:val="0"/>
          <w:kern w:val="2"/>
          <w:sz w:val="32"/>
          <w:szCs w:val="32"/>
          <w:lang w:val="en-US" w:eastAsia="zh-CN" w:bidi="ar-SA"/>
        </w:rPr>
        <w:t>信息发布</w:t>
      </w:r>
    </w:p>
    <w:p>
      <w:pPr>
        <w:spacing w:line="570" w:lineRule="exact"/>
        <w:ind w:firstLine="650" w:firstLineChars="200"/>
        <w:rPr>
          <w:rFonts w:eastAsia="方正仿宋_GBK"/>
          <w:sz w:val="32"/>
          <w:szCs w:val="32"/>
        </w:rPr>
      </w:pPr>
      <w:r>
        <w:rPr>
          <w:rFonts w:eastAsia="方正仿宋_GBK"/>
          <w:sz w:val="32"/>
          <w:szCs w:val="32"/>
        </w:rPr>
        <w:t>由区辐射事故应急指挥部配合区政府做好辐射事故信息的统一对外发布工作，有关事故信息，由区政府新闻办根据授权及时、准确、全面地向社会发布，其他相关部门、单位及个人未经批准，不得擅自泄露事故信息。舆情信息组负责对事故现场媒体活动实施管理、协调和指导，确保信息准确、权威，正确引导社会舆论。</w:t>
      </w:r>
      <w:bookmarkStart w:id="52" w:name="_Toc448704230"/>
    </w:p>
    <w:p>
      <w:pPr>
        <w:pStyle w:val="45"/>
        <w:spacing w:line="570" w:lineRule="exact"/>
        <w:outlineLvl w:val="1"/>
        <w:rPr>
          <w:rFonts w:eastAsia="方正楷体_GBK"/>
          <w:b w:val="0"/>
          <w:bCs w:val="0"/>
        </w:rPr>
      </w:pPr>
      <w:bookmarkStart w:id="53" w:name="_Toc86220868"/>
      <w:r>
        <w:rPr>
          <w:rFonts w:eastAsia="方正楷体_GBK"/>
          <w:b w:val="0"/>
          <w:bCs w:val="0"/>
        </w:rPr>
        <w:t>5.7</w:t>
      </w:r>
      <w:r>
        <w:rPr>
          <w:rFonts w:hint="eastAsia" w:eastAsia="方正楷体_GBK"/>
          <w:b w:val="0"/>
          <w:bCs w:val="0"/>
          <w:lang w:eastAsia="zh-CN"/>
        </w:rPr>
        <w:t>　</w:t>
      </w:r>
      <w:r>
        <w:rPr>
          <w:rFonts w:eastAsia="方正楷体_GBK"/>
          <w:b w:val="0"/>
          <w:bCs w:val="0"/>
        </w:rPr>
        <w:t>应急终止</w:t>
      </w:r>
      <w:bookmarkEnd w:id="52"/>
      <w:bookmarkEnd w:id="53"/>
    </w:p>
    <w:p>
      <w:pPr>
        <w:spacing w:line="570" w:lineRule="exact"/>
        <w:ind w:firstLine="650" w:firstLineChars="200"/>
        <w:rPr>
          <w:rFonts w:eastAsia="方正仿宋_GBK"/>
          <w:sz w:val="32"/>
          <w:szCs w:val="32"/>
        </w:rPr>
      </w:pPr>
      <w:r>
        <w:rPr>
          <w:rFonts w:eastAsia="方正仿宋_GBK"/>
          <w:sz w:val="32"/>
          <w:szCs w:val="32"/>
        </w:rPr>
        <w:t>应急响应终止应具备下列条件：</w:t>
      </w:r>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环境放射性水平已降到国家允许的限值之内；</w:t>
      </w:r>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辐射事故所造成的危害已被消除或可控；</w:t>
      </w:r>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sz w:val="32"/>
          <w:szCs w:val="32"/>
        </w:rPr>
        <w:t>事故现场的各种专业应急处置行动已无继续</w:t>
      </w:r>
      <w:r>
        <w:rPr>
          <w:rFonts w:hint="default" w:eastAsia="方正仿宋_GBK"/>
          <w:sz w:val="32"/>
          <w:szCs w:val="32"/>
          <w:lang w:val="en-US" w:eastAsia="zh-CN"/>
        </w:rPr>
        <w:t>的</w:t>
      </w:r>
      <w:r>
        <w:rPr>
          <w:rFonts w:eastAsia="方正仿宋_GBK"/>
          <w:sz w:val="32"/>
          <w:szCs w:val="32"/>
        </w:rPr>
        <w:t>必要。</w:t>
      </w:r>
    </w:p>
    <w:p>
      <w:pPr>
        <w:spacing w:line="570" w:lineRule="exact"/>
        <w:ind w:firstLine="650" w:firstLineChars="200"/>
        <w:rPr>
          <w:rFonts w:eastAsia="方正仿宋_GBK"/>
          <w:sz w:val="32"/>
          <w:szCs w:val="32"/>
        </w:rPr>
      </w:pPr>
      <w:r>
        <w:rPr>
          <w:rFonts w:eastAsia="方正仿宋_GBK"/>
          <w:sz w:val="32"/>
          <w:szCs w:val="32"/>
        </w:rPr>
        <w:t>特别重大和重大辐射事故由省辐射事故应急指挥部依据应急处置情况提出应急响应终止建议，报省政府批准后，宣布应急响应终止；</w:t>
      </w:r>
    </w:p>
    <w:p>
      <w:pPr>
        <w:spacing w:line="570" w:lineRule="exact"/>
        <w:ind w:firstLine="650" w:firstLineChars="200"/>
        <w:rPr>
          <w:rFonts w:eastAsia="方正仿宋_GBK"/>
          <w:sz w:val="32"/>
          <w:szCs w:val="32"/>
        </w:rPr>
      </w:pPr>
      <w:r>
        <w:rPr>
          <w:rFonts w:eastAsia="方正仿宋_GBK"/>
          <w:sz w:val="32"/>
          <w:szCs w:val="32"/>
        </w:rPr>
        <w:t>较大辐射事故由市辐射事故应急指挥部依据应急处置情</w:t>
      </w:r>
      <w:r>
        <w:rPr>
          <w:rFonts w:eastAsia="方正仿宋_GBK"/>
          <w:spacing w:val="-6"/>
          <w:sz w:val="32"/>
          <w:szCs w:val="32"/>
        </w:rPr>
        <w:t>况提出应急响应终止建议，报市政府批准后，宣布应急响应终止；</w:t>
      </w:r>
    </w:p>
    <w:p>
      <w:pPr>
        <w:spacing w:line="570" w:lineRule="exact"/>
        <w:ind w:firstLine="650" w:firstLineChars="200"/>
        <w:rPr>
          <w:rFonts w:eastAsia="方正仿宋_GBK"/>
          <w:sz w:val="32"/>
          <w:szCs w:val="32"/>
        </w:rPr>
      </w:pPr>
      <w:r>
        <w:rPr>
          <w:rFonts w:eastAsia="方正仿宋_GBK"/>
          <w:sz w:val="32"/>
          <w:szCs w:val="32"/>
        </w:rPr>
        <w:t>一般辐射事故由区辐射事故应急指挥部根据事件处置情况提出应急响应终止的建议，报市政府批准后，宣布应急响应终止。</w:t>
      </w:r>
    </w:p>
    <w:p>
      <w:pPr>
        <w:spacing w:line="570" w:lineRule="exact"/>
        <w:ind w:firstLine="650" w:firstLineChars="200"/>
        <w:rPr>
          <w:rFonts w:eastAsia="方正仿宋_GBK"/>
          <w:sz w:val="32"/>
          <w:szCs w:val="32"/>
        </w:rPr>
      </w:pPr>
      <w:r>
        <w:rPr>
          <w:rFonts w:eastAsia="方正仿宋_GBK"/>
          <w:sz w:val="32"/>
          <w:szCs w:val="32"/>
        </w:rPr>
        <w:t>应急状态终止后，应进行应急总结和事故后续工作。</w:t>
      </w:r>
    </w:p>
    <w:p>
      <w:pPr>
        <w:pStyle w:val="46"/>
        <w:spacing w:line="570" w:lineRule="exact"/>
        <w:outlineLvl w:val="0"/>
        <w:rPr>
          <w:rFonts w:eastAsia="方正黑体_GBK"/>
          <w:b w:val="0"/>
          <w:bCs w:val="0"/>
        </w:rPr>
      </w:pPr>
      <w:bookmarkStart w:id="54" w:name="_Toc86220869"/>
      <w:bookmarkStart w:id="55" w:name="_Toc448704232"/>
      <w:r>
        <w:rPr>
          <w:rFonts w:eastAsia="方正黑体_GBK"/>
          <w:b w:val="0"/>
          <w:bCs w:val="0"/>
        </w:rPr>
        <w:t>6</w:t>
      </w:r>
      <w:r>
        <w:rPr>
          <w:rFonts w:hint="eastAsia" w:eastAsia="方正黑体_GBK"/>
          <w:b w:val="0"/>
          <w:bCs w:val="0"/>
          <w:lang w:val="en-US" w:eastAsia="zh-CN"/>
        </w:rPr>
        <w:t>　</w:t>
      </w:r>
      <w:r>
        <w:rPr>
          <w:rFonts w:eastAsia="方正黑体_GBK"/>
          <w:b w:val="0"/>
          <w:bCs w:val="0"/>
        </w:rPr>
        <w:t>后期处理</w:t>
      </w:r>
      <w:bookmarkEnd w:id="54"/>
    </w:p>
    <w:p>
      <w:pPr>
        <w:pStyle w:val="46"/>
        <w:spacing w:line="570" w:lineRule="exact"/>
        <w:rPr>
          <w:rFonts w:eastAsia="方正楷体_GBK"/>
          <w:b w:val="0"/>
          <w:bCs w:val="0"/>
        </w:rPr>
      </w:pPr>
      <w:bookmarkStart w:id="56" w:name="_Toc86220870"/>
      <w:r>
        <w:rPr>
          <w:rFonts w:eastAsia="方正楷体_GBK"/>
          <w:b w:val="0"/>
          <w:bCs w:val="0"/>
        </w:rPr>
        <w:t>6.1</w:t>
      </w:r>
      <w:r>
        <w:rPr>
          <w:rFonts w:hint="eastAsia" w:eastAsia="方正楷体_GBK"/>
          <w:b w:val="0"/>
          <w:bCs w:val="0"/>
          <w:lang w:eastAsia="zh-CN"/>
        </w:rPr>
        <w:t>　</w:t>
      </w:r>
      <w:r>
        <w:rPr>
          <w:rFonts w:eastAsia="方正楷体_GBK"/>
          <w:b w:val="0"/>
          <w:bCs w:val="0"/>
        </w:rPr>
        <w:t>后续行动</w:t>
      </w:r>
      <w:bookmarkEnd w:id="55"/>
      <w:bookmarkEnd w:id="56"/>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对丢失、被盗放射源的辐射事故，从接到报案或者检查发现之日起半年内，仍未追回丢失放射源或者仍未查清下落的，由负责立案的公安部门作出阶段报告，并提交区辐射事故应急指挥部办公室，生态环境局配合并给予技术支持；</w:t>
      </w:r>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天宁生态环境局会同其他有关部门组织对事故造成的危害情况进行科学评估，对遭受辐射污染场地的清理、放射性废物的处理、辐射后续影响的监测、辐射污染环境的恢复等提出对策和建议；</w:t>
      </w:r>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sz w:val="32"/>
          <w:szCs w:val="32"/>
        </w:rPr>
        <w:t>天宁生态环境局会同其他有关部门组织对造成环境污染的辐射事故，进行后期环境辐射监测，审批、管理去污计划及放射性废物处理处置计划，并监督实施；</w:t>
      </w:r>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4</w:t>
      </w:r>
      <w:r>
        <w:rPr>
          <w:rFonts w:hint="eastAsia" w:eastAsia="方正仿宋_GBK"/>
          <w:sz w:val="32"/>
          <w:szCs w:val="32"/>
          <w:lang w:eastAsia="zh-CN"/>
        </w:rPr>
        <w:t>）</w:t>
      </w:r>
      <w:r>
        <w:rPr>
          <w:rFonts w:eastAsia="方正仿宋_GBK"/>
          <w:sz w:val="32"/>
          <w:szCs w:val="32"/>
        </w:rPr>
        <w:t>对有故意或者重大过失造成辐射事故的责任单位和人员，有关机关应当依法给予行政处分；构成犯罪的，应当依法追究。</w:t>
      </w:r>
    </w:p>
    <w:p>
      <w:pPr>
        <w:pStyle w:val="46"/>
        <w:spacing w:line="570" w:lineRule="exact"/>
        <w:rPr>
          <w:rFonts w:eastAsia="方正楷体_GBK"/>
          <w:b w:val="0"/>
          <w:bCs w:val="0"/>
        </w:rPr>
      </w:pPr>
      <w:bookmarkStart w:id="57" w:name="_Toc448704233"/>
      <w:bookmarkStart w:id="58" w:name="_Toc86220871"/>
      <w:r>
        <w:rPr>
          <w:rFonts w:eastAsia="方正楷体_GBK"/>
          <w:b w:val="0"/>
          <w:bCs w:val="0"/>
        </w:rPr>
        <w:t>6.2</w:t>
      </w:r>
      <w:r>
        <w:rPr>
          <w:rFonts w:hint="eastAsia" w:eastAsia="方正楷体_GBK"/>
          <w:b w:val="0"/>
          <w:bCs w:val="0"/>
          <w:lang w:eastAsia="zh-CN"/>
        </w:rPr>
        <w:t>　</w:t>
      </w:r>
      <w:r>
        <w:rPr>
          <w:rFonts w:eastAsia="方正楷体_GBK"/>
          <w:b w:val="0"/>
          <w:bCs w:val="0"/>
        </w:rPr>
        <w:t>善后处置</w:t>
      </w:r>
      <w:bookmarkEnd w:id="57"/>
      <w:bookmarkEnd w:id="58"/>
    </w:p>
    <w:p>
      <w:pPr>
        <w:spacing w:line="570" w:lineRule="exact"/>
        <w:ind w:firstLine="650" w:firstLineChars="200"/>
        <w:rPr>
          <w:rFonts w:eastAsia="方正仿宋_GBK"/>
          <w:sz w:val="32"/>
          <w:szCs w:val="32"/>
        </w:rPr>
      </w:pPr>
      <w:r>
        <w:rPr>
          <w:rFonts w:eastAsia="方正仿宋_GBK"/>
          <w:sz w:val="32"/>
          <w:szCs w:val="32"/>
        </w:rPr>
        <w:t>（1）由区辐射事故应急指挥部对参与事故应急响应的人员及事故受害人员所受剂量进行评估，对造成伤亡的人员及时进行医疗救助或按规定给予抚恤；对事故影响区域的居民开展心理咨询服务；</w:t>
      </w:r>
    </w:p>
    <w:p>
      <w:pPr>
        <w:spacing w:line="570" w:lineRule="exact"/>
        <w:ind w:firstLine="650" w:firstLineChars="200"/>
        <w:rPr>
          <w:rFonts w:eastAsia="方正仿宋_GBK"/>
          <w:sz w:val="32"/>
          <w:szCs w:val="32"/>
        </w:rPr>
      </w:pPr>
      <w:r>
        <w:rPr>
          <w:rFonts w:eastAsia="方正仿宋_GBK"/>
          <w:sz w:val="32"/>
          <w:szCs w:val="32"/>
        </w:rPr>
        <w:t>（2）由区辐射事故应急指挥部组织有关部门对造成生产生活困难的群众进行妥善安置，对紧急调集、动员征用的人力物力按照规定给予补偿，并按照有关规定及时下拨救助资金和物资。</w:t>
      </w:r>
    </w:p>
    <w:p>
      <w:pPr>
        <w:pStyle w:val="46"/>
        <w:spacing w:line="570" w:lineRule="exact"/>
        <w:rPr>
          <w:rFonts w:eastAsia="方正楷体_GBK"/>
          <w:b w:val="0"/>
          <w:bCs w:val="0"/>
        </w:rPr>
      </w:pPr>
      <w:bookmarkStart w:id="59" w:name="_Toc86220872"/>
      <w:bookmarkStart w:id="60" w:name="_Toc448704235"/>
      <w:r>
        <w:rPr>
          <w:rFonts w:eastAsia="方正楷体_GBK"/>
          <w:b w:val="0"/>
          <w:bCs w:val="0"/>
        </w:rPr>
        <w:t>6.3</w:t>
      </w:r>
      <w:r>
        <w:rPr>
          <w:rFonts w:hint="eastAsia" w:eastAsia="方正楷体_GBK"/>
          <w:b w:val="0"/>
          <w:bCs w:val="0"/>
          <w:lang w:eastAsia="zh-CN"/>
        </w:rPr>
        <w:t>　</w:t>
      </w:r>
      <w:r>
        <w:rPr>
          <w:rFonts w:eastAsia="方正楷体_GBK"/>
          <w:b w:val="0"/>
          <w:bCs w:val="0"/>
        </w:rPr>
        <w:t>总结评估</w:t>
      </w:r>
      <w:bookmarkEnd w:id="59"/>
      <w:bookmarkEnd w:id="60"/>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区辐射事故应急指挥部办公室指导有关部门及辐射事故单位查出事故原因，防止类似事故再次发生；</w:t>
      </w:r>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区辐射事故应急指挥部办公室组织有关部门和专家组，对辐射事故的情况和在应急期间采取的主要行动进行综合评估，1个月内将总结报告报区政府和市辐射事故应急办；</w:t>
      </w:r>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3</w:t>
      </w:r>
      <w:r>
        <w:rPr>
          <w:rFonts w:hint="eastAsia" w:eastAsia="方正仿宋_GBK"/>
          <w:sz w:val="32"/>
          <w:szCs w:val="32"/>
          <w:lang w:eastAsia="zh-CN"/>
        </w:rPr>
        <w:t>）</w:t>
      </w:r>
      <w:r>
        <w:rPr>
          <w:rFonts w:eastAsia="方正仿宋_GBK"/>
          <w:sz w:val="32"/>
          <w:szCs w:val="32"/>
        </w:rPr>
        <w:t>根据实践经验，区辐射事故应急指挥部办公室对本级预案进行评估，并及时修订本级预案。</w:t>
      </w:r>
    </w:p>
    <w:p>
      <w:pPr>
        <w:pStyle w:val="45"/>
        <w:spacing w:line="570" w:lineRule="exact"/>
        <w:rPr>
          <w:rFonts w:eastAsia="方正黑体_GBK"/>
          <w:b w:val="0"/>
          <w:bCs w:val="0"/>
        </w:rPr>
      </w:pPr>
      <w:bookmarkStart w:id="61" w:name="_Toc448704236"/>
      <w:bookmarkStart w:id="62" w:name="_Toc86220873"/>
      <w:r>
        <w:rPr>
          <w:rFonts w:eastAsia="方正黑体_GBK"/>
          <w:b w:val="0"/>
          <w:bCs w:val="0"/>
        </w:rPr>
        <w:t>7.</w:t>
      </w:r>
      <w:r>
        <w:rPr>
          <w:rFonts w:hint="eastAsia" w:eastAsia="方正黑体_GBK"/>
          <w:b w:val="0"/>
          <w:bCs w:val="0"/>
          <w:lang w:eastAsia="zh-CN"/>
        </w:rPr>
        <w:t>　</w:t>
      </w:r>
      <w:r>
        <w:rPr>
          <w:rFonts w:eastAsia="方正黑体_GBK"/>
          <w:b w:val="0"/>
          <w:bCs w:val="0"/>
        </w:rPr>
        <w:t>保障措施</w:t>
      </w:r>
      <w:bookmarkEnd w:id="61"/>
      <w:bookmarkEnd w:id="62"/>
    </w:p>
    <w:p>
      <w:pPr>
        <w:pStyle w:val="46"/>
        <w:spacing w:line="570" w:lineRule="exact"/>
        <w:rPr>
          <w:rFonts w:eastAsia="方正楷体_GBK"/>
          <w:b w:val="0"/>
          <w:bCs w:val="0"/>
        </w:rPr>
      </w:pPr>
      <w:bookmarkStart w:id="63" w:name="_Toc448704237"/>
      <w:bookmarkStart w:id="64" w:name="_Toc86220874"/>
      <w:r>
        <w:rPr>
          <w:rFonts w:eastAsia="方正楷体_GBK"/>
          <w:b w:val="0"/>
          <w:bCs w:val="0"/>
        </w:rPr>
        <w:t>7.1</w:t>
      </w:r>
      <w:r>
        <w:rPr>
          <w:rFonts w:hint="eastAsia" w:eastAsia="方正楷体_GBK"/>
          <w:b w:val="0"/>
          <w:bCs w:val="0"/>
          <w:lang w:eastAsia="zh-CN"/>
        </w:rPr>
        <w:t>　</w:t>
      </w:r>
      <w:r>
        <w:rPr>
          <w:rFonts w:eastAsia="方正楷体_GBK"/>
          <w:b w:val="0"/>
          <w:bCs w:val="0"/>
        </w:rPr>
        <w:t>资金保障</w:t>
      </w:r>
      <w:bookmarkEnd w:id="63"/>
      <w:bookmarkEnd w:id="64"/>
    </w:p>
    <w:p>
      <w:pPr>
        <w:spacing w:line="570" w:lineRule="exact"/>
        <w:ind w:firstLine="650" w:firstLineChars="200"/>
        <w:rPr>
          <w:rFonts w:hint="eastAsia" w:eastAsia="方正仿宋_GBK"/>
          <w:sz w:val="32"/>
          <w:szCs w:val="32"/>
          <w:lang w:eastAsia="zh-CN"/>
        </w:rPr>
      </w:pPr>
      <w:r>
        <w:rPr>
          <w:rFonts w:eastAsia="方正仿宋_GBK"/>
          <w:sz w:val="32"/>
          <w:szCs w:val="32"/>
        </w:rPr>
        <w:t>辐射事故应急处置工作和日常工作经费，从区财政局应急专项经费中列支。应急处置专项资金主要用于突发辐射事故防控准备，包括预防预警系统的建立、应急技术装备添置、应急救援行动处置、人员培训及日常经费开支等</w:t>
      </w:r>
      <w:r>
        <w:rPr>
          <w:rFonts w:hint="eastAsia" w:eastAsia="方正仿宋_GBK"/>
          <w:sz w:val="32"/>
          <w:szCs w:val="32"/>
          <w:lang w:eastAsia="zh-CN"/>
        </w:rPr>
        <w:t>。</w:t>
      </w:r>
    </w:p>
    <w:p>
      <w:pPr>
        <w:pStyle w:val="46"/>
        <w:spacing w:line="570" w:lineRule="exact"/>
        <w:rPr>
          <w:rFonts w:eastAsia="方正楷体_GBK"/>
          <w:b w:val="0"/>
          <w:bCs w:val="0"/>
        </w:rPr>
      </w:pPr>
      <w:bookmarkStart w:id="65" w:name="_Toc86220875"/>
      <w:bookmarkStart w:id="66" w:name="_Toc448704238"/>
      <w:r>
        <w:rPr>
          <w:rFonts w:eastAsia="方正楷体_GBK"/>
          <w:b w:val="0"/>
          <w:bCs w:val="0"/>
        </w:rPr>
        <w:t>7.2</w:t>
      </w:r>
      <w:r>
        <w:rPr>
          <w:rFonts w:hint="eastAsia" w:eastAsia="方正楷体_GBK"/>
          <w:b w:val="0"/>
          <w:bCs w:val="0"/>
          <w:lang w:eastAsia="zh-CN"/>
        </w:rPr>
        <w:t>　</w:t>
      </w:r>
      <w:r>
        <w:rPr>
          <w:rFonts w:eastAsia="方正楷体_GBK"/>
          <w:b w:val="0"/>
          <w:bCs w:val="0"/>
        </w:rPr>
        <w:t>物资装备保障</w:t>
      </w:r>
      <w:bookmarkEnd w:id="65"/>
      <w:bookmarkEnd w:id="66"/>
    </w:p>
    <w:p>
      <w:pPr>
        <w:spacing w:line="570" w:lineRule="exact"/>
        <w:ind w:firstLine="650" w:firstLineChars="200"/>
        <w:rPr>
          <w:rFonts w:eastAsia="方正仿宋_GBK"/>
          <w:sz w:val="32"/>
          <w:szCs w:val="32"/>
        </w:rPr>
      </w:pPr>
      <w:r>
        <w:rPr>
          <w:rFonts w:eastAsia="方正仿宋_GBK"/>
          <w:sz w:val="32"/>
          <w:szCs w:val="32"/>
        </w:rPr>
        <w:t>区政府根据辐射事故应急工作需要，配备相应的技术装备、安全防护用品和有关物资，保证应急设备和物资始终处于良好备用状态，定期保养、检验和清点应急设备和物资。</w:t>
      </w:r>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1</w:t>
      </w:r>
      <w:r>
        <w:rPr>
          <w:rFonts w:hint="eastAsia" w:eastAsia="方正仿宋_GBK"/>
          <w:sz w:val="32"/>
          <w:szCs w:val="32"/>
          <w:lang w:eastAsia="zh-CN"/>
        </w:rPr>
        <w:t>）</w:t>
      </w:r>
      <w:r>
        <w:rPr>
          <w:rFonts w:eastAsia="方正仿宋_GBK"/>
          <w:sz w:val="32"/>
          <w:szCs w:val="32"/>
        </w:rPr>
        <w:t>资料：国家及地方相关法律法规；全区辐射设备营运单位名单及辐射防护责任人名单及联系方式、常州市辐射事故应急响应机构名单和联系方式，天宁区以及常州市应急领导机构成员名单和联系方式；全区辐射设施分布图、交通图；各级辐射事故应急响应预案、实施程序文件；</w:t>
      </w:r>
    </w:p>
    <w:p>
      <w:pPr>
        <w:spacing w:line="570" w:lineRule="exact"/>
        <w:ind w:firstLine="650" w:firstLineChars="200"/>
        <w:rPr>
          <w:rFonts w:eastAsia="方正仿宋_GBK"/>
          <w:sz w:val="32"/>
          <w:szCs w:val="32"/>
        </w:rPr>
      </w:pPr>
      <w:r>
        <w:rPr>
          <w:rFonts w:hint="eastAsia" w:eastAsia="方正仿宋_GBK"/>
          <w:sz w:val="32"/>
          <w:szCs w:val="32"/>
          <w:lang w:eastAsia="zh-CN"/>
        </w:rPr>
        <w:t>（</w:t>
      </w:r>
      <w:r>
        <w:rPr>
          <w:rFonts w:hint="eastAsia" w:eastAsia="方正仿宋_GBK"/>
          <w:sz w:val="32"/>
          <w:szCs w:val="32"/>
          <w:lang w:val="en-US" w:eastAsia="zh-CN"/>
        </w:rPr>
        <w:t>2</w:t>
      </w:r>
      <w:r>
        <w:rPr>
          <w:rFonts w:hint="eastAsia" w:eastAsia="方正仿宋_GBK"/>
          <w:sz w:val="32"/>
          <w:szCs w:val="32"/>
          <w:lang w:eastAsia="zh-CN"/>
        </w:rPr>
        <w:t>）</w:t>
      </w:r>
      <w:r>
        <w:rPr>
          <w:rFonts w:eastAsia="方正仿宋_GBK"/>
          <w:sz w:val="32"/>
          <w:szCs w:val="32"/>
        </w:rPr>
        <w:t>应急装备：各相关部门及单位应在积极发挥现有监测、处置等能力的基础上，积极按照工作职责要求和辐射事故处置特点，配备相应的应急车辆、应急监测设备与防护用品，加强应急处置能力的建设，保证在突发辐射事故时的应急行动所需。</w:t>
      </w:r>
    </w:p>
    <w:p>
      <w:pPr>
        <w:pStyle w:val="46"/>
        <w:spacing w:line="570" w:lineRule="exact"/>
        <w:rPr>
          <w:rFonts w:eastAsia="方正楷体_GBK"/>
          <w:b w:val="0"/>
          <w:bCs w:val="0"/>
        </w:rPr>
      </w:pPr>
      <w:bookmarkStart w:id="67" w:name="_Toc448704239"/>
      <w:bookmarkStart w:id="68" w:name="_Toc86220876"/>
      <w:r>
        <w:rPr>
          <w:rFonts w:eastAsia="方正楷体_GBK"/>
          <w:b w:val="0"/>
          <w:bCs w:val="0"/>
        </w:rPr>
        <w:t>7.3</w:t>
      </w:r>
      <w:r>
        <w:rPr>
          <w:rFonts w:hint="eastAsia" w:eastAsia="方正楷体_GBK"/>
          <w:b w:val="0"/>
          <w:bCs w:val="0"/>
          <w:lang w:eastAsia="zh-CN"/>
        </w:rPr>
        <w:t>　</w:t>
      </w:r>
      <w:r>
        <w:rPr>
          <w:rFonts w:eastAsia="方正楷体_GBK"/>
          <w:b w:val="0"/>
          <w:bCs w:val="0"/>
        </w:rPr>
        <w:t>通信保障</w:t>
      </w:r>
      <w:bookmarkEnd w:id="67"/>
      <w:bookmarkEnd w:id="68"/>
    </w:p>
    <w:p>
      <w:pPr>
        <w:spacing w:line="570" w:lineRule="exact"/>
        <w:ind w:firstLine="650" w:firstLineChars="200"/>
        <w:rPr>
          <w:rFonts w:eastAsia="方正仿宋_GBK"/>
          <w:sz w:val="32"/>
          <w:szCs w:val="32"/>
        </w:rPr>
      </w:pPr>
      <w:r>
        <w:rPr>
          <w:rFonts w:eastAsia="方正仿宋_GBK"/>
          <w:sz w:val="32"/>
          <w:szCs w:val="32"/>
        </w:rPr>
        <w:t>区辐射事故应急指挥部办公室要建立和完善应急指挥系统，确保应急指挥部和有关部门、现场各专业应急救援机构、专家组间的联络畅通。</w:t>
      </w:r>
    </w:p>
    <w:p>
      <w:pPr>
        <w:pStyle w:val="46"/>
        <w:spacing w:line="570" w:lineRule="exact"/>
        <w:rPr>
          <w:rFonts w:eastAsia="方正楷体_GBK"/>
          <w:b w:val="0"/>
          <w:bCs w:val="0"/>
        </w:rPr>
      </w:pPr>
      <w:bookmarkStart w:id="69" w:name="_Toc86220877"/>
      <w:bookmarkStart w:id="70" w:name="_Toc448704240"/>
      <w:r>
        <w:rPr>
          <w:rFonts w:eastAsia="方正楷体_GBK"/>
          <w:b w:val="0"/>
          <w:bCs w:val="0"/>
        </w:rPr>
        <w:t>7.4</w:t>
      </w:r>
      <w:r>
        <w:rPr>
          <w:rFonts w:hint="eastAsia" w:eastAsia="方正楷体_GBK"/>
          <w:b w:val="0"/>
          <w:bCs w:val="0"/>
          <w:lang w:eastAsia="zh-CN"/>
        </w:rPr>
        <w:t>　</w:t>
      </w:r>
      <w:r>
        <w:rPr>
          <w:rFonts w:eastAsia="方正楷体_GBK"/>
          <w:b w:val="0"/>
          <w:bCs w:val="0"/>
        </w:rPr>
        <w:t>技术保障</w:t>
      </w:r>
      <w:bookmarkEnd w:id="69"/>
      <w:bookmarkEnd w:id="70"/>
    </w:p>
    <w:p>
      <w:pPr>
        <w:spacing w:line="570" w:lineRule="exact"/>
        <w:ind w:firstLine="650" w:firstLineChars="200"/>
        <w:rPr>
          <w:rFonts w:eastAsia="方正仿宋_GBK"/>
          <w:sz w:val="32"/>
          <w:szCs w:val="32"/>
        </w:rPr>
      </w:pPr>
      <w:r>
        <w:rPr>
          <w:rFonts w:eastAsia="方正仿宋_GBK"/>
          <w:sz w:val="32"/>
          <w:szCs w:val="32"/>
        </w:rPr>
        <w:t>建立辐射事故预警系统，组建专家咨询组，确保在启动预警前、事故发生后相关专家能迅速到位，为指挥决策提供服务；建立辐射事故应急数据库，建立健全辐射事故应急队伍。</w:t>
      </w:r>
    </w:p>
    <w:p>
      <w:pPr>
        <w:pStyle w:val="46"/>
        <w:spacing w:line="570" w:lineRule="exact"/>
        <w:rPr>
          <w:rFonts w:eastAsia="方正楷体_GBK"/>
          <w:b w:val="0"/>
          <w:bCs w:val="0"/>
        </w:rPr>
      </w:pPr>
      <w:bookmarkStart w:id="71" w:name="_Toc448704241"/>
      <w:bookmarkStart w:id="72" w:name="_Toc86220878"/>
      <w:r>
        <w:rPr>
          <w:rFonts w:eastAsia="方正楷体_GBK"/>
          <w:b w:val="0"/>
          <w:bCs w:val="0"/>
        </w:rPr>
        <w:t>7.5</w:t>
      </w:r>
      <w:r>
        <w:rPr>
          <w:rFonts w:hint="eastAsia" w:eastAsia="方正楷体_GBK"/>
          <w:b w:val="0"/>
          <w:bCs w:val="0"/>
          <w:lang w:eastAsia="zh-CN"/>
        </w:rPr>
        <w:t>　</w:t>
      </w:r>
      <w:r>
        <w:rPr>
          <w:rFonts w:eastAsia="方正楷体_GBK"/>
          <w:b w:val="0"/>
          <w:bCs w:val="0"/>
        </w:rPr>
        <w:t>培训、演习</w:t>
      </w:r>
      <w:bookmarkEnd w:id="71"/>
      <w:r>
        <w:rPr>
          <w:rFonts w:eastAsia="方正楷体_GBK"/>
          <w:b w:val="0"/>
          <w:bCs w:val="0"/>
        </w:rPr>
        <w:t>及宣传</w:t>
      </w:r>
      <w:bookmarkEnd w:id="72"/>
    </w:p>
    <w:p>
      <w:pPr>
        <w:pStyle w:val="48"/>
        <w:keepNext/>
        <w:keepLines/>
        <w:pageBreakBefore w:val="0"/>
        <w:widowControl w:val="0"/>
        <w:kinsoku/>
        <w:wordWrap/>
        <w:overflowPunct/>
        <w:topLinePunct w:val="0"/>
        <w:autoSpaceDE/>
        <w:autoSpaceDN/>
        <w:bidi w:val="0"/>
        <w:adjustRightInd/>
        <w:snapToGrid/>
        <w:spacing w:line="570" w:lineRule="exact"/>
        <w:ind w:firstLine="650" w:firstLineChars="200"/>
        <w:textAlignment w:val="auto"/>
        <w:rPr>
          <w:rFonts w:ascii="Times New Roman" w:hAnsi="Times New Roman" w:eastAsia="方正仿宋_GBK" w:cs="Times New Roman"/>
          <w:b/>
          <w:bCs w:val="0"/>
          <w:kern w:val="2"/>
          <w:sz w:val="32"/>
          <w:szCs w:val="32"/>
          <w:lang w:val="en-US" w:eastAsia="zh-CN" w:bidi="ar-SA"/>
        </w:rPr>
      </w:pPr>
      <w:r>
        <w:rPr>
          <w:rFonts w:ascii="Times New Roman" w:hAnsi="Times New Roman" w:eastAsia="方正仿宋_GBK" w:cs="Times New Roman"/>
          <w:b/>
          <w:bCs w:val="0"/>
          <w:kern w:val="2"/>
          <w:sz w:val="32"/>
          <w:szCs w:val="32"/>
          <w:lang w:val="en-US" w:eastAsia="zh-CN" w:bidi="ar-SA"/>
        </w:rPr>
        <w:t>7.5.1</w:t>
      </w:r>
      <w:r>
        <w:rPr>
          <w:rFonts w:hint="eastAsia" w:ascii="Times New Roman" w:hAnsi="Times New Roman" w:eastAsia="方正仿宋_GBK" w:cs="Times New Roman"/>
          <w:b/>
          <w:bCs w:val="0"/>
          <w:kern w:val="2"/>
          <w:sz w:val="32"/>
          <w:szCs w:val="32"/>
          <w:lang w:val="en-US" w:eastAsia="zh-CN" w:bidi="ar-SA"/>
        </w:rPr>
        <w:t>　</w:t>
      </w:r>
      <w:r>
        <w:rPr>
          <w:rFonts w:ascii="Times New Roman" w:hAnsi="Times New Roman" w:eastAsia="方正仿宋_GBK" w:cs="Times New Roman"/>
          <w:b/>
          <w:bCs w:val="0"/>
          <w:kern w:val="2"/>
          <w:sz w:val="32"/>
          <w:szCs w:val="32"/>
          <w:lang w:val="en-US" w:eastAsia="zh-CN" w:bidi="ar-SA"/>
        </w:rPr>
        <w:t>宣传</w:t>
      </w:r>
    </w:p>
    <w:p>
      <w:pPr>
        <w:spacing w:line="570" w:lineRule="exact"/>
        <w:ind w:firstLine="650" w:firstLineChars="200"/>
        <w:rPr>
          <w:rFonts w:eastAsia="方正仿宋_GBK"/>
          <w:sz w:val="32"/>
          <w:szCs w:val="32"/>
        </w:rPr>
      </w:pPr>
      <w:r>
        <w:rPr>
          <w:rFonts w:eastAsia="方正仿宋_GBK"/>
          <w:sz w:val="32"/>
          <w:szCs w:val="32"/>
        </w:rPr>
        <w:t>区辐射事故应急指挥部办公室牵头做好辐射环境保护科普宣传教育工作，普及辐射安全基本知识和辐射事故预防常识，增强公众的自我防范意识和相关心理准备，提高公众防范辐射事故的能力。</w:t>
      </w:r>
    </w:p>
    <w:p>
      <w:pPr>
        <w:pStyle w:val="48"/>
        <w:keepNext/>
        <w:keepLines/>
        <w:pageBreakBefore w:val="0"/>
        <w:widowControl w:val="0"/>
        <w:kinsoku/>
        <w:wordWrap/>
        <w:overflowPunct/>
        <w:topLinePunct w:val="0"/>
        <w:autoSpaceDE/>
        <w:autoSpaceDN/>
        <w:bidi w:val="0"/>
        <w:adjustRightInd/>
        <w:snapToGrid/>
        <w:spacing w:line="570" w:lineRule="exact"/>
        <w:ind w:firstLine="650" w:firstLineChars="200"/>
        <w:textAlignment w:val="auto"/>
        <w:rPr>
          <w:rFonts w:ascii="Times New Roman" w:hAnsi="Times New Roman" w:eastAsia="方正仿宋_GBK" w:cs="Times New Roman"/>
          <w:b/>
          <w:bCs w:val="0"/>
          <w:kern w:val="2"/>
          <w:sz w:val="32"/>
          <w:szCs w:val="32"/>
          <w:lang w:val="en-US" w:eastAsia="zh-CN" w:bidi="ar-SA"/>
        </w:rPr>
      </w:pPr>
      <w:r>
        <w:rPr>
          <w:rFonts w:ascii="Times New Roman" w:hAnsi="Times New Roman" w:eastAsia="方正仿宋_GBK" w:cs="Times New Roman"/>
          <w:b/>
          <w:bCs w:val="0"/>
          <w:kern w:val="2"/>
          <w:sz w:val="32"/>
          <w:szCs w:val="32"/>
          <w:lang w:val="en-US" w:eastAsia="zh-CN" w:bidi="ar-SA"/>
        </w:rPr>
        <w:t>7.5.2</w:t>
      </w:r>
      <w:r>
        <w:rPr>
          <w:rFonts w:hint="eastAsia" w:ascii="Times New Roman" w:hAnsi="Times New Roman" w:eastAsia="方正仿宋_GBK" w:cs="Times New Roman"/>
          <w:b/>
          <w:bCs w:val="0"/>
          <w:kern w:val="2"/>
          <w:sz w:val="32"/>
          <w:szCs w:val="32"/>
          <w:lang w:val="en-US" w:eastAsia="zh-CN" w:bidi="ar-SA"/>
        </w:rPr>
        <w:t>　</w:t>
      </w:r>
      <w:r>
        <w:rPr>
          <w:rFonts w:ascii="Times New Roman" w:hAnsi="Times New Roman" w:eastAsia="方正仿宋_GBK" w:cs="Times New Roman"/>
          <w:b/>
          <w:bCs w:val="0"/>
          <w:kern w:val="2"/>
          <w:sz w:val="32"/>
          <w:szCs w:val="32"/>
          <w:lang w:val="en-US" w:eastAsia="zh-CN" w:bidi="ar-SA"/>
        </w:rPr>
        <w:t>培训</w:t>
      </w:r>
    </w:p>
    <w:p>
      <w:pPr>
        <w:spacing w:line="570" w:lineRule="exact"/>
        <w:ind w:firstLine="650" w:firstLineChars="200"/>
        <w:rPr>
          <w:rFonts w:eastAsia="方正仿宋_GBK"/>
          <w:sz w:val="32"/>
          <w:szCs w:val="32"/>
        </w:rPr>
      </w:pPr>
      <w:r>
        <w:rPr>
          <w:rFonts w:eastAsia="方正仿宋_GBK"/>
          <w:sz w:val="32"/>
          <w:szCs w:val="32"/>
        </w:rPr>
        <w:t>区辐射事故应急指挥部办公室牵头做好辐射事故应急工作人员的培训和定期再培训工作，参与培训的人员应包括放射源和辐射技术应用单位的负责人、工作人员以及参与应急响应</w:t>
      </w:r>
      <w:r>
        <w:rPr>
          <w:rFonts w:eastAsia="方正仿宋_GBK"/>
          <w:spacing w:val="-6"/>
          <w:sz w:val="32"/>
          <w:szCs w:val="32"/>
        </w:rPr>
        <w:t>的公安、消防、医疗、环境监测等人员。培训一般包括以下内容：</w:t>
      </w:r>
    </w:p>
    <w:p>
      <w:pPr>
        <w:spacing w:line="570" w:lineRule="exact"/>
        <w:ind w:firstLine="650" w:firstLineChars="200"/>
        <w:rPr>
          <w:rFonts w:eastAsia="方正仿宋_GBK"/>
          <w:sz w:val="32"/>
          <w:szCs w:val="32"/>
        </w:rPr>
      </w:pPr>
      <w:r>
        <w:rPr>
          <w:rFonts w:eastAsia="方正仿宋_GBK"/>
          <w:sz w:val="32"/>
          <w:szCs w:val="32"/>
        </w:rPr>
        <w:t>（1）辐射危害和防护的基本知识；</w:t>
      </w:r>
    </w:p>
    <w:p>
      <w:pPr>
        <w:spacing w:line="570" w:lineRule="exact"/>
        <w:ind w:firstLine="650" w:firstLineChars="200"/>
        <w:rPr>
          <w:rFonts w:eastAsia="方正仿宋_GBK"/>
          <w:sz w:val="32"/>
          <w:szCs w:val="32"/>
        </w:rPr>
      </w:pPr>
      <w:r>
        <w:rPr>
          <w:rFonts w:eastAsia="方正仿宋_GBK"/>
          <w:sz w:val="32"/>
          <w:szCs w:val="32"/>
        </w:rPr>
        <w:t>（2）放射源和辐射技术应用中可能发生的辐射事故及其应急处理措施；</w:t>
      </w:r>
    </w:p>
    <w:p>
      <w:pPr>
        <w:spacing w:line="570" w:lineRule="exact"/>
        <w:ind w:firstLine="650" w:firstLineChars="200"/>
        <w:rPr>
          <w:rFonts w:eastAsia="方正仿宋_GBK"/>
          <w:sz w:val="32"/>
          <w:szCs w:val="32"/>
        </w:rPr>
      </w:pPr>
      <w:r>
        <w:rPr>
          <w:rFonts w:eastAsia="方正仿宋_GBK"/>
          <w:sz w:val="32"/>
          <w:szCs w:val="32"/>
        </w:rPr>
        <w:t>（3）国内外放射源和辐射技术应用中实际发生的典型辐射事故及其应急处理的经验教训；</w:t>
      </w:r>
    </w:p>
    <w:p>
      <w:pPr>
        <w:spacing w:line="570" w:lineRule="exact"/>
        <w:ind w:firstLine="650" w:firstLineChars="200"/>
        <w:rPr>
          <w:rFonts w:eastAsia="方正仿宋_GBK"/>
          <w:sz w:val="32"/>
          <w:szCs w:val="32"/>
        </w:rPr>
      </w:pPr>
      <w:r>
        <w:rPr>
          <w:rFonts w:eastAsia="方正仿宋_GBK"/>
          <w:sz w:val="32"/>
          <w:szCs w:val="32"/>
        </w:rPr>
        <w:t>（4）所涉及的应急计划或程序；</w:t>
      </w:r>
    </w:p>
    <w:p>
      <w:pPr>
        <w:spacing w:line="570" w:lineRule="exact"/>
        <w:ind w:firstLine="650" w:firstLineChars="200"/>
        <w:rPr>
          <w:rFonts w:eastAsia="方正仿宋_GBK"/>
          <w:sz w:val="32"/>
          <w:szCs w:val="32"/>
        </w:rPr>
      </w:pPr>
      <w:r>
        <w:rPr>
          <w:rFonts w:eastAsia="方正仿宋_GBK"/>
          <w:sz w:val="32"/>
          <w:szCs w:val="32"/>
        </w:rPr>
        <w:t>（5）急救和消防基本知识和操作技能；</w:t>
      </w:r>
    </w:p>
    <w:p>
      <w:pPr>
        <w:spacing w:line="570" w:lineRule="exact"/>
        <w:ind w:firstLine="650" w:firstLineChars="200"/>
        <w:rPr>
          <w:rFonts w:eastAsia="方正仿宋_GBK"/>
          <w:sz w:val="32"/>
          <w:szCs w:val="32"/>
        </w:rPr>
      </w:pPr>
      <w:r>
        <w:rPr>
          <w:rFonts w:eastAsia="方正仿宋_GBK"/>
          <w:sz w:val="32"/>
          <w:szCs w:val="32"/>
        </w:rPr>
        <w:t>（6）人员和场所去污的基本知识和操作技能；</w:t>
      </w:r>
    </w:p>
    <w:p>
      <w:pPr>
        <w:spacing w:line="570" w:lineRule="exact"/>
        <w:ind w:firstLine="650" w:firstLineChars="200"/>
        <w:rPr>
          <w:rFonts w:eastAsia="方正仿宋_GBK"/>
          <w:sz w:val="32"/>
          <w:szCs w:val="32"/>
        </w:rPr>
      </w:pPr>
      <w:r>
        <w:rPr>
          <w:rFonts w:eastAsia="方正仿宋_GBK"/>
          <w:sz w:val="32"/>
          <w:szCs w:val="32"/>
        </w:rPr>
        <w:t>（7）有关辐射监测仪表的性能和操作。</w:t>
      </w:r>
    </w:p>
    <w:p>
      <w:pPr>
        <w:pStyle w:val="48"/>
        <w:spacing w:line="570" w:lineRule="exact"/>
        <w:rPr>
          <w:rFonts w:eastAsia="方正仿宋_GBK"/>
          <w:b/>
          <w:bCs w:val="0"/>
        </w:rPr>
      </w:pPr>
      <w:r>
        <w:rPr>
          <w:rFonts w:eastAsia="方正仿宋_GBK"/>
          <w:b/>
          <w:bCs w:val="0"/>
        </w:rPr>
        <w:t>7.5.3</w:t>
      </w:r>
      <w:r>
        <w:rPr>
          <w:rFonts w:hint="eastAsia" w:eastAsia="方正仿宋_GBK"/>
          <w:b/>
          <w:bCs w:val="0"/>
          <w:lang w:eastAsia="zh-CN"/>
        </w:rPr>
        <w:t>　</w:t>
      </w:r>
      <w:r>
        <w:rPr>
          <w:rFonts w:eastAsia="方正仿宋_GBK"/>
          <w:b/>
          <w:bCs w:val="0"/>
        </w:rPr>
        <w:t>演习</w:t>
      </w:r>
    </w:p>
    <w:p>
      <w:pPr>
        <w:spacing w:line="570" w:lineRule="exact"/>
        <w:ind w:firstLine="650" w:firstLineChars="200"/>
        <w:rPr>
          <w:rFonts w:eastAsia="方正仿宋_GBK"/>
          <w:sz w:val="32"/>
          <w:szCs w:val="32"/>
        </w:rPr>
      </w:pPr>
      <w:r>
        <w:rPr>
          <w:rFonts w:eastAsia="方正仿宋_GBK"/>
          <w:sz w:val="32"/>
          <w:szCs w:val="32"/>
        </w:rPr>
        <w:t>各有关单位应按照预案要求，定期组织不同级别的辐射事故应急演习，提高防范和处置突发辐射事故的技能，增强实战能力。并针对辐射事故的培训和演习，做好相应的记录和评估报告。</w:t>
      </w:r>
    </w:p>
    <w:p>
      <w:pPr>
        <w:pStyle w:val="45"/>
        <w:numPr>
          <w:ilvl w:val="0"/>
          <w:numId w:val="3"/>
        </w:numPr>
        <w:spacing w:line="570" w:lineRule="exact"/>
        <w:rPr>
          <w:rFonts w:eastAsia="方正仿宋_GBK"/>
        </w:rPr>
      </w:pPr>
      <w:bookmarkStart w:id="73" w:name="_Toc448704242"/>
      <w:bookmarkStart w:id="74" w:name="_Toc86220879"/>
      <w:r>
        <w:rPr>
          <w:rFonts w:eastAsia="方正黑体_GBK"/>
          <w:b w:val="0"/>
          <w:bCs w:val="0"/>
        </w:rPr>
        <w:t>附则</w:t>
      </w:r>
      <w:bookmarkEnd w:id="73"/>
      <w:bookmarkEnd w:id="74"/>
    </w:p>
    <w:p>
      <w:pPr>
        <w:pStyle w:val="46"/>
        <w:spacing w:line="570" w:lineRule="exact"/>
        <w:rPr>
          <w:rFonts w:eastAsia="方正楷体_GBK"/>
          <w:b w:val="0"/>
          <w:bCs w:val="0"/>
        </w:rPr>
      </w:pPr>
      <w:bookmarkStart w:id="75" w:name="_Toc86220880"/>
      <w:bookmarkStart w:id="76" w:name="_Toc448704243"/>
      <w:r>
        <w:rPr>
          <w:rFonts w:eastAsia="方正楷体_GBK"/>
          <w:b w:val="0"/>
          <w:bCs w:val="0"/>
        </w:rPr>
        <w:t>8.1</w:t>
      </w:r>
      <w:r>
        <w:rPr>
          <w:rFonts w:hint="eastAsia" w:eastAsia="方正楷体_GBK"/>
          <w:b w:val="0"/>
          <w:bCs w:val="0"/>
          <w:lang w:eastAsia="zh-CN"/>
        </w:rPr>
        <w:t>　</w:t>
      </w:r>
      <w:r>
        <w:rPr>
          <w:rFonts w:eastAsia="方正楷体_GBK"/>
          <w:b w:val="0"/>
          <w:bCs w:val="0"/>
        </w:rPr>
        <w:t>责任与奖惩</w:t>
      </w:r>
      <w:bookmarkEnd w:id="75"/>
    </w:p>
    <w:p>
      <w:pPr>
        <w:spacing w:line="570" w:lineRule="exact"/>
        <w:ind w:firstLine="650" w:firstLineChars="200"/>
        <w:rPr>
          <w:rFonts w:eastAsia="方正仿宋_GBK"/>
          <w:sz w:val="32"/>
          <w:szCs w:val="32"/>
        </w:rPr>
      </w:pPr>
      <w:r>
        <w:rPr>
          <w:rFonts w:eastAsia="方正仿宋_GBK"/>
          <w:sz w:val="32"/>
          <w:szCs w:val="32"/>
        </w:rPr>
        <w:t>区应急指挥部对在应急处置工作中作出突出贡献的集体和个人应予以表彰奖励；对不认真履行职责、玩忽职守且造成严重损失的，有关部门要依法给予责任人行政处分，构成犯罪的，由司法机关依法追究刑事责任。</w:t>
      </w:r>
    </w:p>
    <w:p>
      <w:pPr>
        <w:pStyle w:val="46"/>
        <w:spacing w:line="570" w:lineRule="exact"/>
        <w:rPr>
          <w:rFonts w:eastAsia="方正楷体_GBK"/>
          <w:b w:val="0"/>
          <w:bCs w:val="0"/>
        </w:rPr>
      </w:pPr>
      <w:bookmarkStart w:id="77" w:name="_Toc86220881"/>
      <w:r>
        <w:rPr>
          <w:rFonts w:eastAsia="方正楷体_GBK"/>
          <w:b w:val="0"/>
          <w:bCs w:val="0"/>
        </w:rPr>
        <w:t>8.2</w:t>
      </w:r>
      <w:r>
        <w:rPr>
          <w:rFonts w:hint="eastAsia" w:eastAsia="方正楷体_GBK"/>
          <w:b w:val="0"/>
          <w:bCs w:val="0"/>
          <w:lang w:eastAsia="zh-CN"/>
        </w:rPr>
        <w:t>　</w:t>
      </w:r>
      <w:r>
        <w:rPr>
          <w:rFonts w:eastAsia="方正楷体_GBK"/>
          <w:b w:val="0"/>
          <w:bCs w:val="0"/>
        </w:rPr>
        <w:t>名词术语解释</w:t>
      </w:r>
      <w:bookmarkEnd w:id="76"/>
      <w:bookmarkEnd w:id="77"/>
    </w:p>
    <w:p>
      <w:pPr>
        <w:spacing w:line="570" w:lineRule="exact"/>
        <w:ind w:firstLine="650" w:firstLineChars="200"/>
        <w:rPr>
          <w:rFonts w:eastAsia="方正仿宋_GBK"/>
          <w:sz w:val="32"/>
          <w:szCs w:val="32"/>
        </w:rPr>
      </w:pPr>
      <w:r>
        <w:rPr>
          <w:rFonts w:eastAsia="方正仿宋_GBK"/>
          <w:sz w:val="32"/>
          <w:szCs w:val="32"/>
        </w:rPr>
        <w:t>放射性同位素，是指某种发生放射性衰变的元素中具有相同原子序数但质量不同的核素。</w:t>
      </w:r>
    </w:p>
    <w:p>
      <w:pPr>
        <w:spacing w:line="570" w:lineRule="exact"/>
        <w:ind w:firstLine="650" w:firstLineChars="200"/>
        <w:rPr>
          <w:rFonts w:eastAsia="方正仿宋_GBK"/>
          <w:sz w:val="32"/>
          <w:szCs w:val="32"/>
        </w:rPr>
      </w:pPr>
      <w:r>
        <w:rPr>
          <w:rFonts w:eastAsia="方正仿宋_GBK"/>
          <w:sz w:val="32"/>
          <w:szCs w:val="32"/>
        </w:rPr>
        <w:t>放射源，是指除研究堆和动力堆核燃料循环范畴的材料以外，永久密封在容器中或者有严密包层并呈固态的放射性材料。</w:t>
      </w:r>
    </w:p>
    <w:p>
      <w:pPr>
        <w:spacing w:line="570" w:lineRule="exact"/>
        <w:ind w:firstLine="650" w:firstLineChars="200"/>
        <w:rPr>
          <w:rFonts w:eastAsia="方正仿宋_GBK"/>
          <w:sz w:val="32"/>
          <w:szCs w:val="32"/>
        </w:rPr>
      </w:pPr>
      <w:r>
        <w:rPr>
          <w:rFonts w:eastAsia="方正仿宋_GBK"/>
          <w:sz w:val="32"/>
          <w:szCs w:val="32"/>
        </w:rPr>
        <w:t>射线装置，是指X线机、加速器、中子发生器以及含放射源的装置。</w:t>
      </w:r>
    </w:p>
    <w:p>
      <w:pPr>
        <w:spacing w:line="570" w:lineRule="exact"/>
        <w:ind w:firstLine="650" w:firstLineChars="200"/>
        <w:rPr>
          <w:rFonts w:eastAsia="方正仿宋_GBK"/>
          <w:sz w:val="32"/>
          <w:szCs w:val="32"/>
        </w:rPr>
      </w:pPr>
      <w:r>
        <w:rPr>
          <w:rFonts w:eastAsia="方正仿宋_GBK"/>
          <w:sz w:val="32"/>
          <w:szCs w:val="32"/>
        </w:rPr>
        <w:t>辐射事故，是指放射源丢失、被盗、失控，或者放射性同位素和射线装置失控导致人员受到意外的异常照射，或者放射性物质泄漏造成辐射污染后果，或者铀矿冶、伴生矿开发利用中超标排放造成辐射污染后果。</w:t>
      </w:r>
    </w:p>
    <w:p>
      <w:pPr>
        <w:pStyle w:val="46"/>
        <w:spacing w:line="570" w:lineRule="exact"/>
        <w:rPr>
          <w:rFonts w:eastAsia="方正楷体_GBK"/>
          <w:b w:val="0"/>
          <w:bCs w:val="0"/>
        </w:rPr>
      </w:pPr>
      <w:bookmarkStart w:id="78" w:name="_Toc86220882"/>
      <w:bookmarkStart w:id="79" w:name="_Toc448704244"/>
      <w:r>
        <w:rPr>
          <w:rFonts w:eastAsia="方正楷体_GBK"/>
          <w:b w:val="0"/>
          <w:bCs w:val="0"/>
        </w:rPr>
        <w:t>8.3</w:t>
      </w:r>
      <w:r>
        <w:rPr>
          <w:rFonts w:hint="eastAsia" w:eastAsia="方正楷体_GBK"/>
          <w:b w:val="0"/>
          <w:bCs w:val="0"/>
          <w:lang w:eastAsia="zh-CN"/>
        </w:rPr>
        <w:t>　</w:t>
      </w:r>
      <w:r>
        <w:rPr>
          <w:rFonts w:eastAsia="方正楷体_GBK"/>
          <w:b w:val="0"/>
          <w:bCs w:val="0"/>
        </w:rPr>
        <w:t>预案管理</w:t>
      </w:r>
      <w:bookmarkEnd w:id="78"/>
      <w:bookmarkEnd w:id="79"/>
    </w:p>
    <w:p>
      <w:pPr>
        <w:spacing w:line="570" w:lineRule="exact"/>
        <w:ind w:firstLine="650" w:firstLineChars="200"/>
        <w:rPr>
          <w:rFonts w:eastAsia="方正仿宋_GBK"/>
          <w:sz w:val="32"/>
          <w:szCs w:val="32"/>
        </w:rPr>
      </w:pPr>
      <w:r>
        <w:rPr>
          <w:rFonts w:eastAsia="方正仿宋_GBK"/>
          <w:sz w:val="32"/>
          <w:szCs w:val="32"/>
        </w:rPr>
        <w:t>区辐射事故应急指挥部办公室负责本预案的编制、解释和日常管理，并根据实际情况，适时组织修订完善，报区政府批准后实施。</w:t>
      </w:r>
    </w:p>
    <w:p>
      <w:pPr>
        <w:spacing w:line="570" w:lineRule="exact"/>
        <w:ind w:firstLine="650" w:firstLineChars="200"/>
        <w:rPr>
          <w:rFonts w:eastAsia="方正仿宋_GBK"/>
          <w:sz w:val="32"/>
          <w:szCs w:val="32"/>
        </w:rPr>
      </w:pPr>
      <w:r>
        <w:rPr>
          <w:rFonts w:eastAsia="方正仿宋_GBK"/>
          <w:sz w:val="32"/>
          <w:szCs w:val="32"/>
        </w:rPr>
        <w:t>根据本预案，区辐射事故应急指挥部成员单位应制定相应的实施细则，并报区辐射事故应急指挥部办公室备案。</w:t>
      </w:r>
    </w:p>
    <w:p>
      <w:pPr>
        <w:pStyle w:val="46"/>
        <w:spacing w:line="570" w:lineRule="exact"/>
        <w:rPr>
          <w:rFonts w:eastAsia="方正楷体_GBK"/>
          <w:b w:val="0"/>
          <w:bCs w:val="0"/>
        </w:rPr>
      </w:pPr>
      <w:bookmarkStart w:id="80" w:name="_Toc86220883"/>
      <w:bookmarkStart w:id="81" w:name="_Toc448704245"/>
      <w:r>
        <w:rPr>
          <w:rFonts w:eastAsia="方正楷体_GBK"/>
          <w:b w:val="0"/>
          <w:bCs w:val="0"/>
        </w:rPr>
        <w:t>8.4</w:t>
      </w:r>
      <w:r>
        <w:rPr>
          <w:rFonts w:hint="eastAsia" w:eastAsia="方正楷体_GBK"/>
          <w:b w:val="0"/>
          <w:bCs w:val="0"/>
          <w:lang w:eastAsia="zh-CN"/>
        </w:rPr>
        <w:t>　</w:t>
      </w:r>
      <w:r>
        <w:rPr>
          <w:rFonts w:eastAsia="方正楷体_GBK"/>
          <w:b w:val="0"/>
          <w:bCs w:val="0"/>
        </w:rPr>
        <w:t>预案实施时间</w:t>
      </w:r>
      <w:bookmarkEnd w:id="80"/>
      <w:bookmarkEnd w:id="81"/>
    </w:p>
    <w:p>
      <w:pPr>
        <w:spacing w:line="570" w:lineRule="exact"/>
        <w:ind w:firstLine="650" w:firstLineChars="200"/>
        <w:rPr>
          <w:rFonts w:eastAsia="方正仿宋_GBK"/>
          <w:sz w:val="32"/>
          <w:szCs w:val="32"/>
        </w:rPr>
      </w:pPr>
      <w:r>
        <w:rPr>
          <w:rFonts w:eastAsia="方正仿宋_GBK"/>
          <w:sz w:val="32"/>
          <w:szCs w:val="32"/>
        </w:rPr>
        <w:t>本预案自发布之日起实施。</w:t>
      </w:r>
    </w:p>
    <w:bookmarkEnd w:id="45"/>
    <w:p>
      <w:pPr>
        <w:spacing w:line="570" w:lineRule="exact"/>
        <w:ind w:firstLine="650" w:firstLineChars="200"/>
        <w:rPr>
          <w:rFonts w:eastAsia="方正仿宋_GBK"/>
          <w:sz w:val="32"/>
          <w:szCs w:val="32"/>
        </w:rPr>
      </w:pPr>
    </w:p>
    <w:p>
      <w:pPr>
        <w:pStyle w:val="3"/>
        <w:spacing w:line="570" w:lineRule="exact"/>
        <w:ind w:firstLine="654"/>
        <w:jc w:val="both"/>
        <w:rPr>
          <w:rFonts w:eastAsia="方正仿宋_GBK"/>
          <w:sz w:val="32"/>
          <w:szCs w:val="32"/>
        </w:rPr>
        <w:sectPr>
          <w:footerReference r:id="rId5" w:type="default"/>
          <w:pgSz w:w="11906" w:h="16838"/>
          <w:pgMar w:top="2098" w:right="1775" w:bottom="1984" w:left="1531" w:header="709" w:footer="1361" w:gutter="0"/>
          <w:pgNumType w:fmt="decimal" w:start="6"/>
          <w:cols w:space="720" w:num="1"/>
          <w:docGrid w:type="linesAndChars" w:linePitch="634" w:charSpace="1223"/>
        </w:sectPr>
      </w:pPr>
    </w:p>
    <w:p>
      <w:pPr>
        <w:pStyle w:val="46"/>
        <w:keepNext w:val="0"/>
        <w:keepLines w:val="0"/>
        <w:pageBreakBefore w:val="0"/>
        <w:widowControl w:val="0"/>
        <w:kinsoku/>
        <w:wordWrap/>
        <w:overflowPunct/>
        <w:topLinePunct w:val="0"/>
        <w:autoSpaceDE/>
        <w:autoSpaceDN/>
        <w:bidi w:val="0"/>
        <w:adjustRightInd/>
        <w:snapToGrid/>
        <w:spacing w:after="320" w:afterLines="50" w:line="570" w:lineRule="exact"/>
        <w:textAlignment w:val="auto"/>
        <w:outlineLvl w:val="3"/>
        <w:rPr>
          <w:rFonts w:hint="default" w:ascii="Times New Roman" w:hAnsi="Times New Roman" w:eastAsia="方正黑体_GBK" w:cs="Times New Roman"/>
          <w:b w:val="0"/>
          <w:bCs w:val="0"/>
        </w:rPr>
      </w:pPr>
      <w:bookmarkStart w:id="82" w:name="_Toc86220884"/>
      <w:bookmarkStart w:id="83" w:name="_Toc526759234"/>
      <w:bookmarkStart w:id="84" w:name="_Toc82345121"/>
      <w:r>
        <w:rPr>
          <w:rFonts w:hint="default" w:ascii="Times New Roman" w:hAnsi="Times New Roman" w:eastAsia="方正黑体_GBK" w:cs="Times New Roman"/>
          <w:b w:val="0"/>
          <w:bCs w:val="0"/>
        </w:rPr>
        <w:t>附件1：天宁区辐射事故应急处置机构组成表</w:t>
      </w:r>
      <w:bookmarkEnd w:id="82"/>
      <w:bookmarkEnd w:id="83"/>
      <w:bookmarkEnd w:id="84"/>
    </w:p>
    <w:tbl>
      <w:tblPr>
        <w:tblStyle w:val="23"/>
        <w:tblW w:w="1478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1792"/>
        <w:gridCol w:w="4072"/>
        <w:gridCol w:w="78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103" w:type="dxa"/>
            <w:tcBorders>
              <w:top w:val="single" w:color="auto" w:sz="4" w:space="0"/>
              <w:left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黑体_GBK"/>
                <w:bCs/>
                <w:sz w:val="28"/>
                <w:szCs w:val="28"/>
              </w:rPr>
            </w:pPr>
            <w:r>
              <w:rPr>
                <w:rFonts w:eastAsia="方正黑体_GBK"/>
                <w:bCs/>
                <w:sz w:val="28"/>
                <w:szCs w:val="28"/>
              </w:rPr>
              <w:t>分类</w:t>
            </w:r>
          </w:p>
        </w:tc>
        <w:tc>
          <w:tcPr>
            <w:tcW w:w="1792" w:type="dxa"/>
            <w:tcBorders>
              <w:top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黑体_GBK"/>
                <w:bCs/>
                <w:sz w:val="28"/>
                <w:szCs w:val="28"/>
              </w:rPr>
            </w:pPr>
            <w:r>
              <w:rPr>
                <w:rFonts w:eastAsia="方正黑体_GBK"/>
                <w:bCs/>
                <w:sz w:val="28"/>
                <w:szCs w:val="28"/>
              </w:rPr>
              <w:t>机构</w:t>
            </w:r>
          </w:p>
        </w:tc>
        <w:tc>
          <w:tcPr>
            <w:tcW w:w="4072" w:type="dxa"/>
            <w:tcBorders>
              <w:top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黑体_GBK"/>
                <w:bCs/>
                <w:sz w:val="28"/>
                <w:szCs w:val="28"/>
              </w:rPr>
            </w:pPr>
            <w:r>
              <w:rPr>
                <w:rFonts w:eastAsia="方正黑体_GBK"/>
                <w:bCs/>
                <w:sz w:val="28"/>
                <w:szCs w:val="28"/>
              </w:rPr>
              <w:t>组成人员或部门</w:t>
            </w:r>
          </w:p>
        </w:tc>
        <w:tc>
          <w:tcPr>
            <w:tcW w:w="7816" w:type="dxa"/>
            <w:tcBorders>
              <w:top w:val="single" w:color="auto" w:sz="4"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黑体_GBK"/>
                <w:bCs/>
                <w:sz w:val="28"/>
                <w:szCs w:val="28"/>
              </w:rPr>
            </w:pPr>
            <w:r>
              <w:rPr>
                <w:rFonts w:eastAsia="方正黑体_GBK"/>
                <w:bCs/>
                <w:sz w:val="28"/>
                <w:szCs w:val="28"/>
              </w:rPr>
              <w:t>主要职责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7" w:hRule="atLeast"/>
        </w:trPr>
        <w:tc>
          <w:tcPr>
            <w:tcW w:w="1103" w:type="dxa"/>
            <w:tcBorders>
              <w:left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领</w:t>
            </w:r>
          </w:p>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导</w:t>
            </w:r>
          </w:p>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机</w:t>
            </w:r>
          </w:p>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构</w:t>
            </w:r>
          </w:p>
        </w:tc>
        <w:tc>
          <w:tcPr>
            <w:tcW w:w="1792" w:type="dxa"/>
            <w:vAlign w:val="center"/>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区辐射事故应急指挥部</w:t>
            </w:r>
          </w:p>
        </w:tc>
        <w:tc>
          <w:tcPr>
            <w:tcW w:w="4072" w:type="dxa"/>
            <w:vAlign w:val="center"/>
          </w:tcPr>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指挥长由分管生态环境保护工作的副区长担任，副指挥长由天宁生态环境局局长和区政府办分管主任担任，成员由天宁生态环境局、区委宣传部、天宁</w:t>
            </w:r>
            <w:r>
              <w:rPr>
                <w:rFonts w:hint="eastAsia" w:eastAsia="方正仿宋_GBK"/>
                <w:sz w:val="24"/>
              </w:rPr>
              <w:t>公安</w:t>
            </w:r>
            <w:r>
              <w:rPr>
                <w:rFonts w:eastAsia="方正仿宋_GBK"/>
                <w:sz w:val="24"/>
              </w:rPr>
              <w:t>分局、区财政局、区卫生健康局、开发区、郑陆镇及各街道办事处等部门负责同志组成。</w:t>
            </w:r>
          </w:p>
        </w:tc>
        <w:tc>
          <w:tcPr>
            <w:tcW w:w="7816" w:type="dxa"/>
            <w:tcBorders>
              <w:right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（1）</w:t>
            </w:r>
            <w:r>
              <w:rPr>
                <w:rFonts w:eastAsia="方正仿宋_GBK"/>
                <w:sz w:val="24"/>
              </w:rPr>
              <w:tab/>
            </w:r>
            <w:r>
              <w:rPr>
                <w:rFonts w:eastAsia="方正仿宋_GBK"/>
                <w:sz w:val="24"/>
              </w:rPr>
              <w:t>批准区级辐射应急响应行动的启动和终止；（2）</w:t>
            </w:r>
            <w:r>
              <w:rPr>
                <w:rFonts w:eastAsia="方正仿宋_GBK"/>
                <w:sz w:val="24"/>
              </w:rPr>
              <w:tab/>
            </w:r>
            <w:r>
              <w:rPr>
                <w:rFonts w:eastAsia="方正仿宋_GBK"/>
                <w:sz w:val="24"/>
              </w:rPr>
              <w:t>领导、指挥和协调区有关部门和单位的应急响应行动；（3）</w:t>
            </w:r>
            <w:r>
              <w:rPr>
                <w:rFonts w:eastAsia="方正仿宋_GBK"/>
                <w:sz w:val="24"/>
              </w:rPr>
              <w:tab/>
            </w:r>
            <w:r>
              <w:rPr>
                <w:rFonts w:eastAsia="方正仿宋_GBK"/>
                <w:sz w:val="24"/>
              </w:rPr>
              <w:t>落实或传达区政府和国家、省、常州市辐射应急相关部门的指示、指令；（4）</w:t>
            </w:r>
            <w:r>
              <w:rPr>
                <w:rFonts w:eastAsia="方正仿宋_GBK"/>
                <w:sz w:val="24"/>
              </w:rPr>
              <w:tab/>
            </w:r>
            <w:r>
              <w:rPr>
                <w:rFonts w:eastAsia="方正仿宋_GBK"/>
                <w:sz w:val="24"/>
              </w:rPr>
              <w:t>负责向区政府和上级辐射应急相关部门及时报告辐射应急信息和处置情况，批准向区政府和上级辐射应急相关部门汇报的事故报告和应急工作报告，必要时，建议区政府向市政府请求支援；</w:t>
            </w:r>
          </w:p>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（5）</w:t>
            </w:r>
            <w:r>
              <w:rPr>
                <w:rFonts w:eastAsia="方正仿宋_GBK"/>
                <w:sz w:val="24"/>
              </w:rPr>
              <w:tab/>
            </w:r>
            <w:r>
              <w:rPr>
                <w:rFonts w:eastAsia="方正仿宋_GBK"/>
                <w:sz w:val="24"/>
              </w:rPr>
              <w:t>负责本辖区内一般辐射事故应急处置工作，负责协调外部力量对辖区内辐射应急工作提供必要的支援；（6）</w:t>
            </w:r>
            <w:r>
              <w:rPr>
                <w:rFonts w:eastAsia="方正仿宋_GBK"/>
                <w:sz w:val="24"/>
              </w:rPr>
              <w:tab/>
            </w:r>
            <w:r>
              <w:rPr>
                <w:rFonts w:eastAsia="方正仿宋_GBK"/>
                <w:sz w:val="24"/>
              </w:rPr>
              <w:t>统一指导区内有关辐射事故的新闻和信息发布、舆情应对工作；（7）</w:t>
            </w:r>
            <w:r>
              <w:rPr>
                <w:rFonts w:eastAsia="方正仿宋_GBK"/>
                <w:sz w:val="24"/>
              </w:rPr>
              <w:tab/>
            </w:r>
            <w:r>
              <w:rPr>
                <w:rFonts w:eastAsia="方正仿宋_GBK"/>
                <w:sz w:val="24"/>
              </w:rPr>
              <w:t>完成区政府和上级部门交办的其他任务。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10" w:hRule="atLeast"/>
        </w:trPr>
        <w:tc>
          <w:tcPr>
            <w:tcW w:w="1103" w:type="dxa"/>
            <w:tcBorders>
              <w:left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办</w:t>
            </w:r>
          </w:p>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事</w:t>
            </w:r>
          </w:p>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机</w:t>
            </w:r>
          </w:p>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构</w:t>
            </w:r>
          </w:p>
        </w:tc>
        <w:tc>
          <w:tcPr>
            <w:tcW w:w="1792" w:type="dxa"/>
            <w:vAlign w:val="center"/>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区辐射事故应急指挥部办公室</w:t>
            </w:r>
          </w:p>
        </w:tc>
        <w:tc>
          <w:tcPr>
            <w:tcW w:w="4072" w:type="dxa"/>
            <w:vAlign w:val="center"/>
          </w:tcPr>
          <w:p>
            <w:pPr>
              <w:pageBreakBefore w:val="0"/>
              <w:widowControl w:val="0"/>
              <w:kinsoku/>
              <w:wordWrap/>
              <w:overflowPunct/>
              <w:topLinePunct w:val="0"/>
              <w:autoSpaceDE/>
              <w:autoSpaceDN/>
              <w:bidi w:val="0"/>
              <w:adjustRightInd w:val="0"/>
              <w:snapToGrid w:val="0"/>
              <w:spacing w:line="320" w:lineRule="exact"/>
              <w:jc w:val="left"/>
              <w:textAlignment w:val="auto"/>
              <w:rPr>
                <w:rFonts w:eastAsia="方正仿宋_GBK"/>
                <w:sz w:val="24"/>
              </w:rPr>
            </w:pPr>
            <w:r>
              <w:rPr>
                <w:rFonts w:eastAsia="方正仿宋_GBK"/>
                <w:sz w:val="24"/>
              </w:rPr>
              <w:t>区辐射事故应急指挥部办公室主任由天宁生态环境局分管领导担任，副主任由区委宣传部、天宁</w:t>
            </w:r>
            <w:r>
              <w:rPr>
                <w:rFonts w:hint="eastAsia" w:eastAsia="方正仿宋_GBK"/>
                <w:sz w:val="24"/>
              </w:rPr>
              <w:t>公安</w:t>
            </w:r>
            <w:r>
              <w:rPr>
                <w:rFonts w:eastAsia="方正仿宋_GBK"/>
                <w:sz w:val="24"/>
              </w:rPr>
              <w:t>分局、区财政局、区卫生健康局等部门的分管领导担任。日常工作由天宁生态环境局负责。</w:t>
            </w:r>
          </w:p>
        </w:tc>
        <w:tc>
          <w:tcPr>
            <w:tcW w:w="7816" w:type="dxa"/>
            <w:tcBorders>
              <w:right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（1）</w:t>
            </w:r>
            <w:r>
              <w:rPr>
                <w:rFonts w:eastAsia="方正仿宋_GBK"/>
                <w:sz w:val="24"/>
              </w:rPr>
              <w:tab/>
            </w:r>
            <w:r>
              <w:rPr>
                <w:rFonts w:eastAsia="方正仿宋_GBK"/>
                <w:sz w:val="24"/>
              </w:rPr>
              <w:t>负责处理区辐射事故应急指挥部的日常工作，组织制定、修改区辐射事故应急预案；（2）</w:t>
            </w:r>
            <w:r>
              <w:rPr>
                <w:rFonts w:eastAsia="方正仿宋_GBK"/>
                <w:sz w:val="24"/>
              </w:rPr>
              <w:tab/>
            </w:r>
            <w:r>
              <w:rPr>
                <w:rFonts w:eastAsia="方正仿宋_GBK"/>
                <w:sz w:val="24"/>
              </w:rPr>
              <w:t>建立和完善辐射事故应急预警机制，及时收集、分析辐射事故相关信息；（3）</w:t>
            </w:r>
            <w:r>
              <w:rPr>
                <w:rFonts w:eastAsia="方正仿宋_GBK"/>
                <w:sz w:val="24"/>
              </w:rPr>
              <w:tab/>
            </w:r>
            <w:r>
              <w:rPr>
                <w:rFonts w:eastAsia="方正仿宋_GBK"/>
                <w:sz w:val="24"/>
              </w:rPr>
              <w:t>负责对接报的辐射事故信息进行核实，核实属实的进行事故等级的初步研判；</w:t>
            </w:r>
          </w:p>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（4）</w:t>
            </w:r>
            <w:r>
              <w:rPr>
                <w:rFonts w:eastAsia="方正仿宋_GBK"/>
                <w:sz w:val="24"/>
              </w:rPr>
              <w:tab/>
            </w:r>
            <w:r>
              <w:rPr>
                <w:rFonts w:eastAsia="方正仿宋_GBK"/>
                <w:sz w:val="24"/>
              </w:rPr>
              <w:t>及时向区辐射事故应急指挥部提出启动本预案或申请外部支援的建议；（5）</w:t>
            </w:r>
            <w:r>
              <w:rPr>
                <w:rFonts w:eastAsia="方正仿宋_GBK"/>
                <w:sz w:val="24"/>
              </w:rPr>
              <w:tab/>
            </w:r>
            <w:r>
              <w:rPr>
                <w:rFonts w:eastAsia="方正仿宋_GBK"/>
                <w:sz w:val="24"/>
              </w:rPr>
              <w:t>传达区辐射事故应急指挥部决定的事项并检查落实情况；（6）</w:t>
            </w:r>
            <w:r>
              <w:rPr>
                <w:rFonts w:eastAsia="方正仿宋_GBK"/>
                <w:sz w:val="24"/>
              </w:rPr>
              <w:tab/>
            </w:r>
            <w:r>
              <w:rPr>
                <w:rFonts w:eastAsia="方正仿宋_GBK"/>
                <w:sz w:val="24"/>
              </w:rPr>
              <w:t>负责与省、市辐射应急指挥部门和区辐射应急指挥部各成员单位的日常联络和信息交换工作，建立区辐射事故应急管理联席会议制度；（7）</w:t>
            </w:r>
            <w:r>
              <w:rPr>
                <w:rFonts w:eastAsia="方正仿宋_GBK"/>
                <w:sz w:val="24"/>
              </w:rPr>
              <w:tab/>
            </w:r>
            <w:r>
              <w:rPr>
                <w:rFonts w:eastAsia="方正仿宋_GBK"/>
                <w:sz w:val="24"/>
              </w:rPr>
              <w:t>指导辐射事故准备工作，组织辐射事故应急培训、演习，开展对公众的宣传工作；（8）</w:t>
            </w:r>
            <w:r>
              <w:rPr>
                <w:rFonts w:eastAsia="方正仿宋_GBK"/>
                <w:sz w:val="24"/>
              </w:rPr>
              <w:tab/>
            </w:r>
            <w:r>
              <w:rPr>
                <w:rFonts w:eastAsia="方正仿宋_GBK"/>
                <w:sz w:val="24"/>
              </w:rPr>
              <w:t>建立辐射事故应急值班制度，公开值班电话；（9）</w:t>
            </w:r>
            <w:r>
              <w:rPr>
                <w:rFonts w:eastAsia="方正仿宋_GBK"/>
                <w:sz w:val="24"/>
              </w:rPr>
              <w:tab/>
            </w:r>
            <w:r>
              <w:rPr>
                <w:rFonts w:eastAsia="方正仿宋_GBK"/>
                <w:sz w:val="24"/>
              </w:rPr>
              <w:t>建立应急专家咨询组并组织专家组成员开展应急救援咨询工作；（10）</w:t>
            </w:r>
            <w:r>
              <w:rPr>
                <w:rFonts w:eastAsia="方正仿宋_GBK"/>
                <w:sz w:val="24"/>
              </w:rPr>
              <w:tab/>
            </w:r>
            <w:r>
              <w:rPr>
                <w:rFonts w:eastAsia="方正仿宋_GBK"/>
                <w:sz w:val="24"/>
              </w:rPr>
              <w:t>编制事故处置情况的初始报告、实时报告、总结报告。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2" w:hRule="atLeast"/>
        </w:trPr>
        <w:tc>
          <w:tcPr>
            <w:tcW w:w="1103" w:type="dxa"/>
            <w:vMerge w:val="restart"/>
            <w:tcBorders>
              <w:left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现</w:t>
            </w:r>
          </w:p>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场</w:t>
            </w:r>
          </w:p>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处</w:t>
            </w:r>
          </w:p>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置</w:t>
            </w:r>
          </w:p>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小</w:t>
            </w:r>
          </w:p>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组</w:t>
            </w:r>
          </w:p>
        </w:tc>
        <w:tc>
          <w:tcPr>
            <w:tcW w:w="1792" w:type="dxa"/>
            <w:vAlign w:val="center"/>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舆情信息组</w:t>
            </w:r>
          </w:p>
        </w:tc>
        <w:tc>
          <w:tcPr>
            <w:tcW w:w="4072" w:type="dxa"/>
            <w:vAlign w:val="center"/>
          </w:tcPr>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由区委宣传部牵头，天宁生态环境局、天宁</w:t>
            </w:r>
            <w:r>
              <w:rPr>
                <w:rFonts w:hint="eastAsia" w:eastAsia="方正仿宋_GBK"/>
                <w:sz w:val="24"/>
              </w:rPr>
              <w:t>公安</w:t>
            </w:r>
            <w:r>
              <w:rPr>
                <w:rFonts w:eastAsia="方正仿宋_GBK"/>
                <w:sz w:val="24"/>
              </w:rPr>
              <w:t>分局、区卫生健康局等部门相关人员组成。</w:t>
            </w:r>
          </w:p>
        </w:tc>
        <w:tc>
          <w:tcPr>
            <w:tcW w:w="7816" w:type="dxa"/>
            <w:tcBorders>
              <w:right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负责收集分析舆情，及时报送重要信息，向应急指挥部提出舆情应对建议；组织指导报刊、电台、电视、网络等新闻媒体及时宣传报道；组织开展辐射事故应急期间的公众宣传和专家解读，负责接待媒体采访和公众咨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3" w:type="dxa"/>
            <w:vMerge w:val="continue"/>
            <w:tcBorders>
              <w:left w:val="single" w:color="auto" w:sz="4" w:space="0"/>
            </w:tcBorders>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p>
        </w:tc>
        <w:tc>
          <w:tcPr>
            <w:tcW w:w="1792" w:type="dxa"/>
            <w:vAlign w:val="center"/>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现场协调组</w:t>
            </w:r>
          </w:p>
        </w:tc>
        <w:tc>
          <w:tcPr>
            <w:tcW w:w="4072" w:type="dxa"/>
            <w:vAlign w:val="center"/>
          </w:tcPr>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由天宁生态环境局牵头，区卫生健康局、天宁</w:t>
            </w:r>
            <w:r>
              <w:rPr>
                <w:rFonts w:hint="eastAsia" w:eastAsia="方正仿宋_GBK"/>
                <w:sz w:val="24"/>
              </w:rPr>
              <w:t>公安</w:t>
            </w:r>
            <w:r>
              <w:rPr>
                <w:rFonts w:eastAsia="方正仿宋_GBK"/>
                <w:sz w:val="24"/>
              </w:rPr>
              <w:t>分局、事故发生地开发区（镇政府、街道办事处）等相关人员和辐射事故应急技术专家组成。</w:t>
            </w:r>
          </w:p>
        </w:tc>
        <w:tc>
          <w:tcPr>
            <w:tcW w:w="7816" w:type="dxa"/>
            <w:tcBorders>
              <w:right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负责组织协调各响应组有效开展应急响应工作；负责提供辐射事故地点及相关单位的基础资料，及时报告现场应急信息；负责各响应组现场指挥调度和后勤保障；传达省、市指挥部门的指示和要求，及时上报应急处置进展情况；对应急行动的终止提出建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3" w:type="dxa"/>
            <w:vMerge w:val="continue"/>
            <w:tcBorders>
              <w:left w:val="single" w:color="auto" w:sz="4" w:space="0"/>
            </w:tcBorders>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p>
        </w:tc>
        <w:tc>
          <w:tcPr>
            <w:tcW w:w="1792" w:type="dxa"/>
            <w:vAlign w:val="center"/>
          </w:tcPr>
          <w:p>
            <w:pPr>
              <w:pStyle w:val="5"/>
              <w:pageBreakBefore w:val="0"/>
              <w:widowControl w:val="0"/>
              <w:kinsoku/>
              <w:wordWrap/>
              <w:overflowPunct/>
              <w:topLinePunct w:val="0"/>
              <w:autoSpaceDE/>
              <w:autoSpaceDN/>
              <w:bidi w:val="0"/>
              <w:spacing w:before="0" w:after="0" w:line="320" w:lineRule="exact"/>
              <w:jc w:val="center"/>
              <w:textAlignment w:val="auto"/>
              <w:rPr>
                <w:rFonts w:eastAsia="方正仿宋_GBK"/>
                <w:b w:val="0"/>
                <w:bCs w:val="0"/>
                <w:sz w:val="24"/>
                <w:szCs w:val="24"/>
              </w:rPr>
            </w:pPr>
            <w:r>
              <w:rPr>
                <w:rFonts w:eastAsia="方正仿宋_GBK"/>
                <w:b w:val="0"/>
                <w:bCs w:val="0"/>
                <w:sz w:val="24"/>
                <w:szCs w:val="24"/>
              </w:rPr>
              <w:t>现场监测组</w:t>
            </w:r>
          </w:p>
        </w:tc>
        <w:tc>
          <w:tcPr>
            <w:tcW w:w="4072" w:type="dxa"/>
            <w:vAlign w:val="center"/>
          </w:tcPr>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由天宁生态环境局</w:t>
            </w:r>
            <w:r>
              <w:rPr>
                <w:rFonts w:hint="eastAsia" w:eastAsia="方正仿宋_GBK"/>
                <w:sz w:val="24"/>
              </w:rPr>
              <w:t>、区卫生健康局协调市</w:t>
            </w:r>
            <w:r>
              <w:rPr>
                <w:rFonts w:eastAsia="方正仿宋_GBK"/>
                <w:sz w:val="24"/>
              </w:rPr>
              <w:t>生态环境系统辐射环境监测人员、</w:t>
            </w:r>
            <w:r>
              <w:rPr>
                <w:rFonts w:hint="eastAsia" w:eastAsia="方正仿宋_GBK"/>
                <w:sz w:val="24"/>
              </w:rPr>
              <w:t>市</w:t>
            </w:r>
            <w:r>
              <w:rPr>
                <w:rFonts w:eastAsia="方正仿宋_GBK"/>
                <w:sz w:val="24"/>
              </w:rPr>
              <w:t>卫生健康系统辐射监测人员组成。当监测能力不足时，可请求上级支持或引入第三方监测力量。</w:t>
            </w:r>
          </w:p>
        </w:tc>
        <w:tc>
          <w:tcPr>
            <w:tcW w:w="7816" w:type="dxa"/>
            <w:tcBorders>
              <w:right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负责制定辐射事故应急监测方案并组织实施；必要时派遣专家或监测人员，加强现场应急监测工作；配合开展监测数据整理和监测报告提交；对应急处置行动提供必要支援；配合开展事故后期跟踪监测和去污后环境监测；提出外部监测力量支援建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3" w:type="dxa"/>
            <w:vMerge w:val="continue"/>
            <w:tcBorders>
              <w:left w:val="single" w:color="auto" w:sz="4" w:space="0"/>
            </w:tcBorders>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p>
        </w:tc>
        <w:tc>
          <w:tcPr>
            <w:tcW w:w="1792" w:type="dxa"/>
            <w:vAlign w:val="center"/>
          </w:tcPr>
          <w:p>
            <w:pPr>
              <w:pStyle w:val="5"/>
              <w:pageBreakBefore w:val="0"/>
              <w:widowControl w:val="0"/>
              <w:kinsoku/>
              <w:wordWrap/>
              <w:overflowPunct/>
              <w:topLinePunct w:val="0"/>
              <w:autoSpaceDE/>
              <w:autoSpaceDN/>
              <w:bidi w:val="0"/>
              <w:spacing w:before="0" w:after="0" w:line="320" w:lineRule="exact"/>
              <w:jc w:val="center"/>
              <w:textAlignment w:val="auto"/>
              <w:rPr>
                <w:rFonts w:eastAsia="方正仿宋_GBK"/>
                <w:b w:val="0"/>
                <w:bCs w:val="0"/>
                <w:sz w:val="24"/>
                <w:szCs w:val="24"/>
              </w:rPr>
            </w:pPr>
            <w:r>
              <w:rPr>
                <w:rFonts w:eastAsia="方正仿宋_GBK"/>
                <w:b w:val="0"/>
                <w:bCs w:val="0"/>
                <w:sz w:val="24"/>
                <w:szCs w:val="24"/>
              </w:rPr>
              <w:t>现场处置组</w:t>
            </w:r>
          </w:p>
        </w:tc>
        <w:tc>
          <w:tcPr>
            <w:tcW w:w="4072" w:type="dxa"/>
            <w:vAlign w:val="center"/>
          </w:tcPr>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由天宁生态环境局牵头，天宁</w:t>
            </w:r>
            <w:r>
              <w:rPr>
                <w:rFonts w:hint="eastAsia" w:eastAsia="方正仿宋_GBK"/>
                <w:sz w:val="24"/>
              </w:rPr>
              <w:t>公安</w:t>
            </w:r>
            <w:r>
              <w:rPr>
                <w:rFonts w:eastAsia="方正仿宋_GBK"/>
                <w:sz w:val="24"/>
              </w:rPr>
              <w:t>分局、区卫生健康局等部门辐射事故应急处置人员组成。</w:t>
            </w:r>
          </w:p>
        </w:tc>
        <w:tc>
          <w:tcPr>
            <w:tcW w:w="7816" w:type="dxa"/>
            <w:tcBorders>
              <w:right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负责对事故进行研判；负责制定事故处置方案；负责事故现场放射性污染的处理、处置；提出外部处置力量支援建议；必要时，配合有关部门对易失控的放射源实施收贮。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1103" w:type="dxa"/>
            <w:vMerge w:val="continue"/>
            <w:tcBorders>
              <w:left w:val="single" w:color="auto" w:sz="4" w:space="0"/>
            </w:tcBorders>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p>
        </w:tc>
        <w:tc>
          <w:tcPr>
            <w:tcW w:w="1792" w:type="dxa"/>
            <w:vAlign w:val="center"/>
          </w:tcPr>
          <w:p>
            <w:pPr>
              <w:pStyle w:val="5"/>
              <w:pageBreakBefore w:val="0"/>
              <w:widowControl w:val="0"/>
              <w:kinsoku/>
              <w:wordWrap/>
              <w:overflowPunct/>
              <w:topLinePunct w:val="0"/>
              <w:autoSpaceDE/>
              <w:autoSpaceDN/>
              <w:bidi w:val="0"/>
              <w:spacing w:before="0" w:after="0" w:line="320" w:lineRule="exact"/>
              <w:jc w:val="center"/>
              <w:textAlignment w:val="auto"/>
              <w:rPr>
                <w:rFonts w:eastAsia="方正仿宋_GBK"/>
                <w:b w:val="0"/>
                <w:bCs w:val="0"/>
                <w:sz w:val="24"/>
                <w:szCs w:val="24"/>
              </w:rPr>
            </w:pPr>
            <w:r>
              <w:rPr>
                <w:rFonts w:eastAsia="方正仿宋_GBK"/>
                <w:b w:val="0"/>
                <w:bCs w:val="0"/>
                <w:sz w:val="24"/>
                <w:szCs w:val="24"/>
              </w:rPr>
              <w:t>安全保卫组</w:t>
            </w:r>
          </w:p>
        </w:tc>
        <w:tc>
          <w:tcPr>
            <w:tcW w:w="4072" w:type="dxa"/>
            <w:vAlign w:val="center"/>
          </w:tcPr>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由天宁</w:t>
            </w:r>
            <w:r>
              <w:rPr>
                <w:rFonts w:hint="eastAsia" w:eastAsia="方正仿宋_GBK"/>
                <w:sz w:val="24"/>
              </w:rPr>
              <w:t>公安</w:t>
            </w:r>
            <w:r>
              <w:rPr>
                <w:rFonts w:eastAsia="方正仿宋_GBK"/>
                <w:sz w:val="24"/>
              </w:rPr>
              <w:t>分局牵头，天宁生态环境局、事故发生地开发区（镇政府、街道办事处）等相关单位组成。</w:t>
            </w:r>
          </w:p>
        </w:tc>
        <w:tc>
          <w:tcPr>
            <w:tcW w:w="7816" w:type="dxa"/>
            <w:tcBorders>
              <w:right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负责执行现场警戒和交通管制任务；负责丢失和被盗放射源等事故的立案、侦察和追缴；组织可能受辐射事故影响的公众的撤离安置；申请外部公安机关支援力量。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3" w:type="dxa"/>
            <w:vMerge w:val="continue"/>
            <w:tcBorders>
              <w:left w:val="single" w:color="auto" w:sz="4" w:space="0"/>
              <w:bottom w:val="single" w:color="auto" w:sz="4" w:space="0"/>
            </w:tcBorders>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p>
        </w:tc>
        <w:tc>
          <w:tcPr>
            <w:tcW w:w="1792" w:type="dxa"/>
            <w:tcBorders>
              <w:bottom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jc w:val="center"/>
              <w:textAlignment w:val="auto"/>
              <w:rPr>
                <w:rFonts w:eastAsia="方正仿宋_GBK"/>
                <w:sz w:val="24"/>
              </w:rPr>
            </w:pPr>
            <w:r>
              <w:rPr>
                <w:rFonts w:eastAsia="方正仿宋_GBK"/>
                <w:sz w:val="24"/>
              </w:rPr>
              <w:t>医疗卫生组</w:t>
            </w:r>
          </w:p>
        </w:tc>
        <w:tc>
          <w:tcPr>
            <w:tcW w:w="4072" w:type="dxa"/>
            <w:tcBorders>
              <w:bottom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由区卫生健康局牵头，相关医疗单位人员组成。</w:t>
            </w:r>
          </w:p>
        </w:tc>
        <w:tc>
          <w:tcPr>
            <w:tcW w:w="7816" w:type="dxa"/>
            <w:tcBorders>
              <w:bottom w:val="single" w:color="auto" w:sz="4"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320" w:lineRule="exact"/>
              <w:textAlignment w:val="auto"/>
              <w:rPr>
                <w:rFonts w:eastAsia="方正仿宋_GBK"/>
                <w:sz w:val="24"/>
              </w:rPr>
            </w:pPr>
            <w:r>
              <w:rPr>
                <w:rFonts w:eastAsia="方正仿宋_GBK"/>
                <w:sz w:val="24"/>
              </w:rPr>
              <w:t>组织事故现场卫生应急处置等应急救援工作；组织协调或指导受辐射伤害人员的医疗救治和剂量评价工作；组织协调或指导可能受到辐射伤害的人员健康影响评估；组织协调卫健部门支援力量。</w:t>
            </w:r>
          </w:p>
        </w:tc>
      </w:tr>
    </w:tbl>
    <w:p>
      <w:pPr>
        <w:ind w:firstLine="650" w:firstLineChars="200"/>
        <w:rPr>
          <w:rFonts w:eastAsia="方正仿宋_GBK"/>
          <w:sz w:val="32"/>
          <w:szCs w:val="32"/>
        </w:rPr>
        <w:sectPr>
          <w:pgSz w:w="16838" w:h="11906" w:orient="landscape"/>
          <w:pgMar w:top="1417" w:right="1134" w:bottom="1417" w:left="1134" w:header="851" w:footer="1134" w:gutter="0"/>
          <w:pgNumType w:fmt="decimal"/>
          <w:cols w:space="720" w:num="1"/>
          <w:docGrid w:type="linesAndChars" w:linePitch="634" w:charSpace="1223"/>
        </w:sect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bookmarkStart w:id="85" w:name="_Toc86220885"/>
      <w:bookmarkStart w:id="86" w:name="_Toc526759236"/>
      <w:bookmarkStart w:id="87" w:name="_Toc82345123"/>
      <w:r>
        <w:rPr>
          <w:rFonts w:hint="default" w:ascii="Times New Roman" w:hAnsi="Times New Roman" w:eastAsia="方正黑体_GBK" w:cs="Times New Roman"/>
          <w:b w:val="0"/>
          <w:bCs w:val="0"/>
        </w:rPr>
        <w:t>附件2：天宁区辐射事故应急处置流程图</w:t>
      </w:r>
      <w:bookmarkEnd w:id="85"/>
      <w:bookmarkEnd w:id="86"/>
      <w:bookmarkEnd w:id="87"/>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r>
        <w:rPr>
          <w:sz w:val="32"/>
          <w:szCs w:val="32"/>
        </w:rPr>
        <w:pict>
          <v:shape id="_x0000_s1026" o:spid="_x0000_s1026" o:spt="75" type="#_x0000_t75" style="position:absolute;left:0pt;margin-left:13.8pt;margin-top:29.45pt;height:521.2pt;width:414.6pt;z-index:251661312;mso-width-relative:page;mso-height-relative:page;" filled="f" o:preferrelative="t" stroked="f" coordsize="21600,21600">
            <v:path/>
            <v:fill on="f" focussize="0,0"/>
            <v:stroke on="f"/>
            <v:imagedata r:id="rId8" o:title=""/>
            <o:lock v:ext="edit" aspectratio="t"/>
          </v:shape>
        </w:pict>
      </w: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bookmarkStart w:id="88" w:name="_Toc526759237"/>
      <w:bookmarkStart w:id="89" w:name="_Toc82345124"/>
      <w:bookmarkStart w:id="90" w:name="_Toc86220886"/>
      <w:r>
        <w:rPr>
          <w:rFonts w:hint="default" w:ascii="Times New Roman" w:hAnsi="Times New Roman" w:eastAsia="方正黑体_GBK" w:cs="Times New Roman"/>
          <w:b w:val="0"/>
          <w:bCs w:val="0"/>
          <w:sz w:val="32"/>
          <w:szCs w:val="32"/>
        </w:rPr>
        <w:t>附件3：</w:t>
      </w:r>
      <w:bookmarkEnd w:id="88"/>
      <w:r>
        <w:rPr>
          <w:rFonts w:hint="default" w:ascii="Times New Roman" w:hAnsi="Times New Roman" w:eastAsia="方正黑体_GBK" w:cs="Times New Roman"/>
          <w:b w:val="0"/>
          <w:bCs w:val="0"/>
          <w:sz w:val="32"/>
          <w:szCs w:val="32"/>
        </w:rPr>
        <w:t>_________________辐射事故初始报告表</w:t>
      </w:r>
      <w:bookmarkEnd w:id="89"/>
      <w:bookmarkEnd w:id="90"/>
    </w:p>
    <w:tbl>
      <w:tblPr>
        <w:tblStyle w:val="23"/>
        <w:tblW w:w="890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613"/>
        <w:gridCol w:w="856"/>
        <w:gridCol w:w="497"/>
        <w:gridCol w:w="1162"/>
        <w:gridCol w:w="68"/>
        <w:gridCol w:w="758"/>
        <w:gridCol w:w="360"/>
        <w:gridCol w:w="445"/>
        <w:gridCol w:w="564"/>
        <w:gridCol w:w="269"/>
        <w:gridCol w:w="173"/>
        <w:gridCol w:w="1152"/>
        <w:gridCol w:w="100"/>
        <w:gridCol w:w="600"/>
        <w:gridCol w:w="128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469"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事故单位</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名    称</w:t>
            </w:r>
          </w:p>
        </w:tc>
        <w:tc>
          <w:tcPr>
            <w:tcW w:w="7431" w:type="dxa"/>
            <w:gridSpan w:val="1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（公章）</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469"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法定代表人</w:t>
            </w:r>
          </w:p>
        </w:tc>
        <w:tc>
          <w:tcPr>
            <w:tcW w:w="1659"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826"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地</w:t>
            </w:r>
            <w:r>
              <w:rPr>
                <w:rFonts w:hint="eastAsia" w:eastAsia="方正仿宋_GBK" w:cs="Times New Roman"/>
                <w:color w:val="000000"/>
                <w:sz w:val="22"/>
                <w:szCs w:val="22"/>
                <w:lang w:val="en-US" w:eastAsia="zh-CN"/>
              </w:rPr>
              <w:t xml:space="preserve"> </w:t>
            </w:r>
            <w:r>
              <w:rPr>
                <w:rFonts w:hint="default" w:ascii="Times New Roman" w:hAnsi="Times New Roman" w:eastAsia="方正仿宋_GBK" w:cs="Times New Roman"/>
                <w:color w:val="000000"/>
                <w:sz w:val="22"/>
                <w:szCs w:val="22"/>
              </w:rPr>
              <w:t>址</w:t>
            </w:r>
          </w:p>
        </w:tc>
        <w:tc>
          <w:tcPr>
            <w:tcW w:w="2963" w:type="dxa"/>
            <w:gridSpan w:val="6"/>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700"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方正仿宋_GBK" w:cs="Times New Roman"/>
                <w:color w:val="000000"/>
                <w:sz w:val="22"/>
                <w:szCs w:val="22"/>
                <w:lang w:val="en-US" w:eastAsia="zh-CN"/>
              </w:rPr>
            </w:pPr>
            <w:r>
              <w:rPr>
                <w:rFonts w:hint="default" w:ascii="Times New Roman" w:hAnsi="Times New Roman" w:eastAsia="方正仿宋_GBK" w:cs="Times New Roman"/>
                <w:color w:val="000000"/>
                <w:sz w:val="22"/>
                <w:szCs w:val="22"/>
              </w:rPr>
              <w:t>邮</w:t>
            </w:r>
            <w:r>
              <w:rPr>
                <w:rFonts w:hint="eastAsia" w:eastAsia="方正仿宋_GBK" w:cs="Times New Roman"/>
                <w:color w:val="000000"/>
                <w:sz w:val="22"/>
                <w:szCs w:val="22"/>
                <w:lang w:val="en-US" w:eastAsia="zh-CN"/>
              </w:rPr>
              <w:t xml:space="preserve"> </w:t>
            </w:r>
            <w:r>
              <w:rPr>
                <w:rFonts w:hint="default" w:ascii="Times New Roman" w:hAnsi="Times New Roman" w:eastAsia="方正仿宋_GBK" w:cs="Times New Roman"/>
                <w:color w:val="000000"/>
                <w:sz w:val="22"/>
                <w:szCs w:val="22"/>
              </w:rPr>
              <w:t>编</w:t>
            </w:r>
          </w:p>
        </w:tc>
        <w:tc>
          <w:tcPr>
            <w:tcW w:w="1283"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469"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电  话</w:t>
            </w:r>
          </w:p>
        </w:tc>
        <w:tc>
          <w:tcPr>
            <w:tcW w:w="2485"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69"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传</w:t>
            </w:r>
            <w:r>
              <w:rPr>
                <w:rFonts w:hint="eastAsia" w:eastAsia="方正仿宋_GBK" w:cs="Times New Roman"/>
                <w:color w:val="000000"/>
                <w:sz w:val="22"/>
                <w:szCs w:val="22"/>
                <w:lang w:val="en-US" w:eastAsia="zh-CN"/>
              </w:rPr>
              <w:t xml:space="preserve">  </w:t>
            </w:r>
            <w:r>
              <w:rPr>
                <w:rFonts w:hint="default" w:ascii="Times New Roman" w:hAnsi="Times New Roman" w:eastAsia="方正仿宋_GBK" w:cs="Times New Roman"/>
                <w:color w:val="000000"/>
                <w:sz w:val="22"/>
                <w:szCs w:val="22"/>
              </w:rPr>
              <w:t>真</w:t>
            </w:r>
          </w:p>
        </w:tc>
        <w:tc>
          <w:tcPr>
            <w:tcW w:w="442"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152"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联系人</w:t>
            </w:r>
          </w:p>
        </w:tc>
        <w:tc>
          <w:tcPr>
            <w:tcW w:w="1983"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469"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许可证号</w:t>
            </w:r>
          </w:p>
        </w:tc>
        <w:tc>
          <w:tcPr>
            <w:tcW w:w="2485"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638"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许可证审批机关</w:t>
            </w:r>
          </w:p>
        </w:tc>
        <w:tc>
          <w:tcPr>
            <w:tcW w:w="3308" w:type="dxa"/>
            <w:gridSpan w:val="5"/>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469"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    故</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发生时间</w:t>
            </w:r>
          </w:p>
        </w:tc>
        <w:tc>
          <w:tcPr>
            <w:tcW w:w="2485"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638"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事故发生地点</w:t>
            </w:r>
          </w:p>
        </w:tc>
        <w:tc>
          <w:tcPr>
            <w:tcW w:w="3308" w:type="dxa"/>
            <w:gridSpan w:val="5"/>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469" w:type="dxa"/>
            <w:gridSpan w:val="2"/>
            <w:vMerge w:val="restart"/>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   故</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类   型</w:t>
            </w:r>
          </w:p>
        </w:tc>
        <w:tc>
          <w:tcPr>
            <w:tcW w:w="3290" w:type="dxa"/>
            <w:gridSpan w:val="6"/>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人员受照     人员污染</w:t>
            </w:r>
          </w:p>
        </w:tc>
        <w:tc>
          <w:tcPr>
            <w:tcW w:w="4141" w:type="dxa"/>
            <w:gridSpan w:val="7"/>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受照人数         受污染人数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469" w:type="dxa"/>
            <w:gridSpan w:val="2"/>
            <w:vMerge w:val="continue"/>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3290" w:type="dxa"/>
            <w:gridSpan w:val="6"/>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丢失    被盗     失控</w:t>
            </w:r>
          </w:p>
        </w:tc>
        <w:tc>
          <w:tcPr>
            <w:tcW w:w="4141" w:type="dxa"/>
            <w:gridSpan w:val="7"/>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事故源数量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469" w:type="dxa"/>
            <w:gridSpan w:val="2"/>
            <w:vMerge w:val="continue"/>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3290" w:type="dxa"/>
            <w:gridSpan w:val="6"/>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放射性污染</w:t>
            </w:r>
          </w:p>
        </w:tc>
        <w:tc>
          <w:tcPr>
            <w:tcW w:w="4141" w:type="dxa"/>
            <w:gridSpan w:val="7"/>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污染面积（m2）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613"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序号</w:t>
            </w:r>
          </w:p>
        </w:tc>
        <w:tc>
          <w:tcPr>
            <w:tcW w:w="1353"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事故源核素</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名称</w:t>
            </w:r>
          </w:p>
        </w:tc>
        <w:tc>
          <w:tcPr>
            <w:tcW w:w="1230"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出厂</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活度（Bq）</w:t>
            </w:r>
          </w:p>
        </w:tc>
        <w:tc>
          <w:tcPr>
            <w:tcW w:w="1118"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出厂日期</w:t>
            </w:r>
          </w:p>
        </w:tc>
        <w:tc>
          <w:tcPr>
            <w:tcW w:w="1451"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放射源编码</w:t>
            </w:r>
          </w:p>
        </w:tc>
        <w:tc>
          <w:tcPr>
            <w:tcW w:w="1252"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事故时</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活度（Bq）</w:t>
            </w:r>
          </w:p>
        </w:tc>
        <w:tc>
          <w:tcPr>
            <w:tcW w:w="1883"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非密封放射性物质</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状态（固/液态）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613"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53"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230"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118"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451"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252"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883"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613"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53"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230"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118"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451"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252"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883"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613"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序号</w:t>
            </w:r>
          </w:p>
        </w:tc>
        <w:tc>
          <w:tcPr>
            <w:tcW w:w="1353"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射线装置</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名称</w:t>
            </w:r>
          </w:p>
        </w:tc>
        <w:tc>
          <w:tcPr>
            <w:tcW w:w="1230"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型  号</w:t>
            </w:r>
          </w:p>
        </w:tc>
        <w:tc>
          <w:tcPr>
            <w:tcW w:w="1118"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生产厂家</w:t>
            </w:r>
          </w:p>
        </w:tc>
        <w:tc>
          <w:tcPr>
            <w:tcW w:w="1451"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设备编号</w:t>
            </w:r>
          </w:p>
        </w:tc>
        <w:tc>
          <w:tcPr>
            <w:tcW w:w="1252"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所在场所</w:t>
            </w:r>
          </w:p>
        </w:tc>
        <w:tc>
          <w:tcPr>
            <w:tcW w:w="1883"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主要参数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613"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53"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230"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118"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451"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252"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883"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613"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53"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230"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118"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451"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252"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883"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69"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事故经过</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情况</w:t>
            </w:r>
          </w:p>
        </w:tc>
        <w:tc>
          <w:tcPr>
            <w:tcW w:w="7431" w:type="dxa"/>
            <w:gridSpan w:val="1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469"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报告人签字</w:t>
            </w:r>
          </w:p>
        </w:tc>
        <w:tc>
          <w:tcPr>
            <w:tcW w:w="1659"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186"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报告时间</w:t>
            </w:r>
          </w:p>
        </w:tc>
        <w:tc>
          <w:tcPr>
            <w:tcW w:w="4586" w:type="dxa"/>
            <w:gridSpan w:val="8"/>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年  月  日  时  分</w:t>
            </w:r>
          </w:p>
        </w:tc>
      </w:tr>
    </w:tbl>
    <w:p>
      <w:pPr>
        <w:pStyle w:val="21"/>
        <w:keepNext w:val="0"/>
        <w:keepLines w:val="0"/>
        <w:pageBreakBefore w:val="0"/>
        <w:widowControl/>
        <w:kinsoku/>
        <w:wordWrap/>
        <w:overflowPunct/>
        <w:topLinePunct w:val="0"/>
        <w:autoSpaceDE/>
        <w:autoSpaceDN/>
        <w:bidi w:val="0"/>
        <w:adjustRightInd/>
        <w:snapToGrid/>
        <w:spacing w:before="63" w:beforeLines="20" w:beforeAutospacing="0" w:after="0" w:afterAutospacing="0" w:line="300" w:lineRule="exact"/>
        <w:ind w:left="0" w:hanging="440" w:hangingChars="200"/>
        <w:textAlignment w:val="auto"/>
        <w:rPr>
          <w:rFonts w:hint="default" w:ascii="Times New Roman" w:hAnsi="Times New Roman" w:eastAsia="方正楷体_GBK" w:cs="Times New Roman"/>
          <w:sz w:val="22"/>
          <w:szCs w:val="22"/>
        </w:rPr>
      </w:pPr>
      <w:r>
        <w:rPr>
          <w:rFonts w:hint="default" w:ascii="Times New Roman" w:hAnsi="Times New Roman" w:eastAsia="方正楷体_GBK" w:cs="Times New Roman"/>
          <w:sz w:val="22"/>
          <w:szCs w:val="22"/>
        </w:rPr>
        <w:t>注：射线装置的“主要参数”是指X射线机的电流（mA）和电压（kV）、加速器线束能量等主要性能参数。</w:t>
      </w: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bookmarkStart w:id="91" w:name="_Toc86220887"/>
      <w:bookmarkStart w:id="92" w:name="_Toc82345125"/>
      <w:r>
        <w:rPr>
          <w:rFonts w:hint="default" w:ascii="Times New Roman" w:hAnsi="Times New Roman" w:eastAsia="方正黑体_GBK" w:cs="Times New Roman"/>
          <w:b w:val="0"/>
          <w:bCs w:val="0"/>
          <w:sz w:val="32"/>
          <w:szCs w:val="32"/>
        </w:rPr>
        <w:t>附件4：_________________辐射事故续报报告表</w:t>
      </w:r>
      <w:bookmarkEnd w:id="91"/>
      <w:bookmarkEnd w:id="92"/>
    </w:p>
    <w:tbl>
      <w:tblPr>
        <w:tblStyle w:val="23"/>
        <w:tblW w:w="890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558"/>
        <w:gridCol w:w="872"/>
        <w:gridCol w:w="490"/>
        <w:gridCol w:w="158"/>
        <w:gridCol w:w="313"/>
        <w:gridCol w:w="682"/>
        <w:gridCol w:w="1037"/>
        <w:gridCol w:w="579"/>
        <w:gridCol w:w="921"/>
        <w:gridCol w:w="1327"/>
        <w:gridCol w:w="196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8" w:type="dxa"/>
            <w:gridSpan w:val="4"/>
            <w:vMerge w:val="restart"/>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事故单位</w:t>
            </w:r>
          </w:p>
        </w:tc>
        <w:tc>
          <w:tcPr>
            <w:tcW w:w="2611"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名 称</w:t>
            </w:r>
          </w:p>
        </w:tc>
        <w:tc>
          <w:tcPr>
            <w:tcW w:w="4211"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地 址</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8" w:type="dxa"/>
            <w:gridSpan w:val="4"/>
            <w:vMerge w:val="continue"/>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2611"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许可证号</w:t>
            </w:r>
          </w:p>
        </w:tc>
        <w:tc>
          <w:tcPr>
            <w:tcW w:w="4211"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许可证审批机关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8"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事故发生时间</w:t>
            </w:r>
          </w:p>
        </w:tc>
        <w:tc>
          <w:tcPr>
            <w:tcW w:w="2611"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921"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事故报告时间</w:t>
            </w:r>
          </w:p>
        </w:tc>
        <w:tc>
          <w:tcPr>
            <w:tcW w:w="3290"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8"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事故发生地点</w:t>
            </w:r>
          </w:p>
        </w:tc>
        <w:tc>
          <w:tcPr>
            <w:tcW w:w="6822" w:type="dxa"/>
            <w:gridSpan w:val="7"/>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8" w:type="dxa"/>
            <w:gridSpan w:val="4"/>
            <w:vMerge w:val="restart"/>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事故类型</w:t>
            </w:r>
          </w:p>
        </w:tc>
        <w:tc>
          <w:tcPr>
            <w:tcW w:w="2611"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 xml:space="preserve">  </w:t>
            </w:r>
            <w:r>
              <w:rPr>
                <w:rFonts w:hint="default" w:ascii="Times New Roman" w:hAnsi="Times New Roman" w:eastAsia="方正仿宋_GBK" w:cs="Times New Roman"/>
                <w:color w:val="000000"/>
                <w:sz w:val="22"/>
                <w:szCs w:val="22"/>
                <w:lang w:val="en-US" w:eastAsia="zh-CN"/>
              </w:rPr>
              <w:t xml:space="preserve">  </w:t>
            </w:r>
            <w:r>
              <w:rPr>
                <w:rFonts w:hint="default" w:ascii="Times New Roman" w:hAnsi="Times New Roman" w:eastAsia="方正仿宋_GBK" w:cs="Times New Roman"/>
                <w:color w:val="000000"/>
                <w:sz w:val="22"/>
                <w:szCs w:val="22"/>
              </w:rPr>
              <w:t>人员受照   人员污染</w:t>
            </w:r>
          </w:p>
        </w:tc>
        <w:tc>
          <w:tcPr>
            <w:tcW w:w="4211"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受照人数         受污染人数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8" w:type="dxa"/>
            <w:gridSpan w:val="4"/>
            <w:vMerge w:val="continue"/>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2611"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 xml:space="preserve">  丢失    被盗     失控</w:t>
            </w:r>
          </w:p>
        </w:tc>
        <w:tc>
          <w:tcPr>
            <w:tcW w:w="4211"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事故源数量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8" w:type="dxa"/>
            <w:gridSpan w:val="4"/>
            <w:vMerge w:val="continue"/>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2611"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 xml:space="preserve">   放射性污染</w:t>
            </w:r>
          </w:p>
        </w:tc>
        <w:tc>
          <w:tcPr>
            <w:tcW w:w="4211"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污染面积（m2）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58"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序号</w:t>
            </w:r>
          </w:p>
        </w:tc>
        <w:tc>
          <w:tcPr>
            <w:tcW w:w="1362"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事故源核素</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名称</w:t>
            </w:r>
          </w:p>
        </w:tc>
        <w:tc>
          <w:tcPr>
            <w:tcW w:w="1153"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出厂</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活度（Bq）</w:t>
            </w:r>
          </w:p>
        </w:tc>
        <w:tc>
          <w:tcPr>
            <w:tcW w:w="1037"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出厂日期</w:t>
            </w:r>
          </w:p>
        </w:tc>
        <w:tc>
          <w:tcPr>
            <w:tcW w:w="1500"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放射源编码</w:t>
            </w:r>
          </w:p>
        </w:tc>
        <w:tc>
          <w:tcPr>
            <w:tcW w:w="1327"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事故时活度</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（Bq）</w:t>
            </w:r>
          </w:p>
        </w:tc>
        <w:tc>
          <w:tcPr>
            <w:tcW w:w="1963"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非密封放射性物质</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状态（固/液态）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58"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62" w:type="dxa"/>
            <w:gridSpan w:val="2"/>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153" w:type="dxa"/>
            <w:gridSpan w:val="3"/>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037"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500" w:type="dxa"/>
            <w:gridSpan w:val="2"/>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27"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963"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58"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62"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153" w:type="dxa"/>
            <w:gridSpan w:val="3"/>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037"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500" w:type="dxa"/>
            <w:gridSpan w:val="2"/>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27"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963"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58"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序号</w:t>
            </w:r>
          </w:p>
        </w:tc>
        <w:tc>
          <w:tcPr>
            <w:tcW w:w="1362"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射线装置</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名称</w:t>
            </w:r>
          </w:p>
        </w:tc>
        <w:tc>
          <w:tcPr>
            <w:tcW w:w="1153"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型  号</w:t>
            </w:r>
          </w:p>
        </w:tc>
        <w:tc>
          <w:tcPr>
            <w:tcW w:w="1037"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生产厂家</w:t>
            </w:r>
          </w:p>
        </w:tc>
        <w:tc>
          <w:tcPr>
            <w:tcW w:w="1500"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设备编号</w:t>
            </w:r>
          </w:p>
        </w:tc>
        <w:tc>
          <w:tcPr>
            <w:tcW w:w="1327"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所在场所</w:t>
            </w:r>
          </w:p>
        </w:tc>
        <w:tc>
          <w:tcPr>
            <w:tcW w:w="1963"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主要参数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58"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62"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153" w:type="dxa"/>
            <w:gridSpan w:val="3"/>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037"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500" w:type="dxa"/>
            <w:gridSpan w:val="2"/>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27"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963"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58"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62"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153" w:type="dxa"/>
            <w:gridSpan w:val="3"/>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037"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500" w:type="dxa"/>
            <w:gridSpan w:val="2"/>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27"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963"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391" w:type="dxa"/>
            <w:gridSpan w:val="5"/>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 故 级 别</w:t>
            </w:r>
          </w:p>
        </w:tc>
        <w:tc>
          <w:tcPr>
            <w:tcW w:w="6509" w:type="dxa"/>
            <w:gridSpan w:val="6"/>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 xml:space="preserve">  一般辐射事故   较大辐射事故   重大辐射事故    特别重大辐射事故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8"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事故经过、原因</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和处理情况</w:t>
            </w:r>
          </w:p>
        </w:tc>
        <w:tc>
          <w:tcPr>
            <w:tcW w:w="6822" w:type="dxa"/>
            <w:gridSpan w:val="7"/>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2078" w:type="dxa"/>
            <w:gridSpan w:val="4"/>
            <w:vMerge w:val="restart"/>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事故发生地</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生态环境部门</w:t>
            </w:r>
          </w:p>
        </w:tc>
        <w:tc>
          <w:tcPr>
            <w:tcW w:w="2611"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联系人</w:t>
            </w:r>
          </w:p>
        </w:tc>
        <w:tc>
          <w:tcPr>
            <w:tcW w:w="4211" w:type="dxa"/>
            <w:gridSpan w:val="3"/>
            <w:vMerge w:val="restart"/>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（公章）</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2078" w:type="dxa"/>
            <w:gridSpan w:val="4"/>
            <w:vMerge w:val="continue"/>
            <w:noWrap/>
            <w:vAlign w:val="center"/>
          </w:tcPr>
          <w:p>
            <w:pPr>
              <w:jc w:val="center"/>
              <w:rPr>
                <w:rFonts w:hint="default" w:ascii="Times New Roman" w:hAnsi="Times New Roman" w:eastAsia="方正仿宋_GBK" w:cs="Times New Roman"/>
                <w:color w:val="000000"/>
                <w:sz w:val="22"/>
                <w:szCs w:val="22"/>
              </w:rPr>
            </w:pPr>
          </w:p>
        </w:tc>
        <w:tc>
          <w:tcPr>
            <w:tcW w:w="2611" w:type="dxa"/>
            <w:gridSpan w:val="4"/>
            <w:noWrap/>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电  话</w:t>
            </w:r>
          </w:p>
        </w:tc>
        <w:tc>
          <w:tcPr>
            <w:tcW w:w="4211" w:type="dxa"/>
            <w:gridSpan w:val="3"/>
            <w:vMerge w:val="continue"/>
            <w:noWrap/>
            <w:vAlign w:val="center"/>
          </w:tcPr>
          <w:p>
            <w:pPr>
              <w:jc w:val="center"/>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2078" w:type="dxa"/>
            <w:gridSpan w:val="4"/>
            <w:vMerge w:val="continue"/>
            <w:noWrap/>
            <w:vAlign w:val="center"/>
          </w:tcPr>
          <w:p>
            <w:pPr>
              <w:jc w:val="center"/>
              <w:rPr>
                <w:rFonts w:hint="default" w:ascii="Times New Roman" w:hAnsi="Times New Roman" w:eastAsia="方正仿宋_GBK" w:cs="Times New Roman"/>
                <w:color w:val="000000"/>
                <w:sz w:val="22"/>
                <w:szCs w:val="22"/>
              </w:rPr>
            </w:pPr>
          </w:p>
        </w:tc>
        <w:tc>
          <w:tcPr>
            <w:tcW w:w="2611" w:type="dxa"/>
            <w:gridSpan w:val="4"/>
            <w:noWrap/>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传  真</w:t>
            </w:r>
          </w:p>
        </w:tc>
        <w:tc>
          <w:tcPr>
            <w:tcW w:w="4211" w:type="dxa"/>
            <w:gridSpan w:val="3"/>
            <w:vMerge w:val="continue"/>
            <w:noWrap/>
            <w:vAlign w:val="center"/>
          </w:tcPr>
          <w:p>
            <w:pPr>
              <w:jc w:val="center"/>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24" w:hRule="atLeast"/>
          <w:jc w:val="center"/>
        </w:trPr>
        <w:tc>
          <w:tcPr>
            <w:tcW w:w="1430"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事故单位</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名    称</w:t>
            </w:r>
          </w:p>
        </w:tc>
        <w:tc>
          <w:tcPr>
            <w:tcW w:w="7470" w:type="dxa"/>
            <w:gridSpan w:val="9"/>
            <w:noWrap/>
            <w:vAlign w:val="center"/>
          </w:tcPr>
          <w:p>
            <w:pPr>
              <w:jc w:val="center"/>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 xml:space="preserve">                          （公章）</w:t>
            </w:r>
          </w:p>
        </w:tc>
      </w:tr>
    </w:tbl>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bookmarkStart w:id="93" w:name="_Toc86220888"/>
      <w:bookmarkStart w:id="94" w:name="_Toc82345126"/>
      <w:r>
        <w:rPr>
          <w:rFonts w:hint="default" w:ascii="Times New Roman" w:hAnsi="Times New Roman" w:eastAsia="方正黑体_GBK" w:cs="Times New Roman"/>
          <w:b w:val="0"/>
          <w:bCs w:val="0"/>
          <w:sz w:val="32"/>
          <w:szCs w:val="32"/>
        </w:rPr>
        <w:t>附件5：_________________辐射事故处理结果报告表</w:t>
      </w:r>
      <w:bookmarkEnd w:id="93"/>
      <w:bookmarkEnd w:id="94"/>
    </w:p>
    <w:tbl>
      <w:tblPr>
        <w:tblStyle w:val="23"/>
        <w:tblW w:w="890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574"/>
        <w:gridCol w:w="1342"/>
        <w:gridCol w:w="160"/>
        <w:gridCol w:w="320"/>
        <w:gridCol w:w="680"/>
        <w:gridCol w:w="1035"/>
        <w:gridCol w:w="773"/>
        <w:gridCol w:w="711"/>
        <w:gridCol w:w="1406"/>
        <w:gridCol w:w="189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6" w:type="dxa"/>
            <w:gridSpan w:val="3"/>
            <w:vMerge w:val="restart"/>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事故单位</w:t>
            </w:r>
          </w:p>
        </w:tc>
        <w:tc>
          <w:tcPr>
            <w:tcW w:w="2808"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名 称</w:t>
            </w:r>
          </w:p>
        </w:tc>
        <w:tc>
          <w:tcPr>
            <w:tcW w:w="4016"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地 址</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6" w:type="dxa"/>
            <w:gridSpan w:val="3"/>
            <w:vMerge w:val="continue"/>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2808"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许可证号</w:t>
            </w:r>
          </w:p>
        </w:tc>
        <w:tc>
          <w:tcPr>
            <w:tcW w:w="4016"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许可证审批机关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6"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事故发生时间</w:t>
            </w:r>
          </w:p>
        </w:tc>
        <w:tc>
          <w:tcPr>
            <w:tcW w:w="2808"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711"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事故报告时间</w:t>
            </w:r>
          </w:p>
        </w:tc>
        <w:tc>
          <w:tcPr>
            <w:tcW w:w="3305"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6"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事故发生地点</w:t>
            </w:r>
          </w:p>
        </w:tc>
        <w:tc>
          <w:tcPr>
            <w:tcW w:w="6824" w:type="dxa"/>
            <w:gridSpan w:val="7"/>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6" w:type="dxa"/>
            <w:gridSpan w:val="3"/>
            <w:vMerge w:val="restart"/>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事故类型</w:t>
            </w:r>
          </w:p>
        </w:tc>
        <w:tc>
          <w:tcPr>
            <w:tcW w:w="2808"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 xml:space="preserve">   人员受照     人员污染</w:t>
            </w:r>
          </w:p>
        </w:tc>
        <w:tc>
          <w:tcPr>
            <w:tcW w:w="4016"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受照人数           受污染人数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6" w:type="dxa"/>
            <w:gridSpan w:val="3"/>
            <w:vMerge w:val="continue"/>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2808"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 xml:space="preserve">  丢失    被盗     失控</w:t>
            </w:r>
          </w:p>
        </w:tc>
        <w:tc>
          <w:tcPr>
            <w:tcW w:w="4016"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事故源数量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6" w:type="dxa"/>
            <w:gridSpan w:val="3"/>
            <w:vMerge w:val="continue"/>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2808"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 xml:space="preserve">   放射性污染</w:t>
            </w:r>
          </w:p>
        </w:tc>
        <w:tc>
          <w:tcPr>
            <w:tcW w:w="4016"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污染面积（m2）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74"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序号</w:t>
            </w:r>
          </w:p>
        </w:tc>
        <w:tc>
          <w:tcPr>
            <w:tcW w:w="1342"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事故源核素名称</w:t>
            </w:r>
          </w:p>
        </w:tc>
        <w:tc>
          <w:tcPr>
            <w:tcW w:w="1160"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出厂</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活度（Bq）</w:t>
            </w:r>
          </w:p>
        </w:tc>
        <w:tc>
          <w:tcPr>
            <w:tcW w:w="1035"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出厂日期</w:t>
            </w:r>
          </w:p>
        </w:tc>
        <w:tc>
          <w:tcPr>
            <w:tcW w:w="1484"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放射源编码</w:t>
            </w:r>
          </w:p>
        </w:tc>
        <w:tc>
          <w:tcPr>
            <w:tcW w:w="1406"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事故时</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活度（Bq）</w:t>
            </w:r>
          </w:p>
        </w:tc>
        <w:tc>
          <w:tcPr>
            <w:tcW w:w="1899"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非密封放射性物质</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状态（固/液态）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74"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42"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160" w:type="dxa"/>
            <w:gridSpan w:val="3"/>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035"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484" w:type="dxa"/>
            <w:gridSpan w:val="2"/>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406"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899"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74"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42"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160" w:type="dxa"/>
            <w:gridSpan w:val="3"/>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035"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484" w:type="dxa"/>
            <w:gridSpan w:val="2"/>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406"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899"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74"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序号</w:t>
            </w:r>
          </w:p>
        </w:tc>
        <w:tc>
          <w:tcPr>
            <w:tcW w:w="1342"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射线装置</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名称</w:t>
            </w:r>
          </w:p>
        </w:tc>
        <w:tc>
          <w:tcPr>
            <w:tcW w:w="1160"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型  号</w:t>
            </w:r>
          </w:p>
        </w:tc>
        <w:tc>
          <w:tcPr>
            <w:tcW w:w="1035"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生产厂家</w:t>
            </w:r>
          </w:p>
        </w:tc>
        <w:tc>
          <w:tcPr>
            <w:tcW w:w="1484" w:type="dxa"/>
            <w:gridSpan w:val="2"/>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设备编号</w:t>
            </w:r>
          </w:p>
        </w:tc>
        <w:tc>
          <w:tcPr>
            <w:tcW w:w="1406"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所在场所</w:t>
            </w:r>
          </w:p>
        </w:tc>
        <w:tc>
          <w:tcPr>
            <w:tcW w:w="1899"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主要参数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74"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42"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160" w:type="dxa"/>
            <w:gridSpan w:val="3"/>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035"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484" w:type="dxa"/>
            <w:gridSpan w:val="2"/>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406"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899"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74"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342" w:type="dxa"/>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160" w:type="dxa"/>
            <w:gridSpan w:val="3"/>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035"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484" w:type="dxa"/>
            <w:gridSpan w:val="2"/>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406"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1899" w:type="dxa"/>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396"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 故 级 别</w:t>
            </w:r>
          </w:p>
        </w:tc>
        <w:tc>
          <w:tcPr>
            <w:tcW w:w="6504" w:type="dxa"/>
            <w:gridSpan w:val="6"/>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 xml:space="preserve">  一般辐射事故   较大辐射事故   重大辐射事故    特别重大辐射事故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6" w:type="dxa"/>
            <w:gridSpan w:val="3"/>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事故经过、原因</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和处理情况</w:t>
            </w:r>
          </w:p>
        </w:tc>
        <w:tc>
          <w:tcPr>
            <w:tcW w:w="6824" w:type="dxa"/>
            <w:gridSpan w:val="7"/>
            <w:noWrap/>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6" w:type="dxa"/>
            <w:gridSpan w:val="3"/>
            <w:vMerge w:val="restart"/>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事故发生地</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 xml:space="preserve">生态环境部门 </w:t>
            </w:r>
          </w:p>
        </w:tc>
        <w:tc>
          <w:tcPr>
            <w:tcW w:w="2808"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 xml:space="preserve">联系人                         </w:t>
            </w:r>
          </w:p>
        </w:tc>
        <w:tc>
          <w:tcPr>
            <w:tcW w:w="4016" w:type="dxa"/>
            <w:gridSpan w:val="3"/>
            <w:vMerge w:val="restart"/>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（公章）</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6" w:type="dxa"/>
            <w:gridSpan w:val="3"/>
            <w:vMerge w:val="continue"/>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2808"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电  话</w:t>
            </w:r>
          </w:p>
        </w:tc>
        <w:tc>
          <w:tcPr>
            <w:tcW w:w="4016" w:type="dxa"/>
            <w:gridSpan w:val="3"/>
            <w:vMerge w:val="continue"/>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076" w:type="dxa"/>
            <w:gridSpan w:val="3"/>
            <w:vMerge w:val="continue"/>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c>
          <w:tcPr>
            <w:tcW w:w="2808" w:type="dxa"/>
            <w:gridSpan w:val="4"/>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r>
              <w:rPr>
                <w:rFonts w:hint="default" w:ascii="Times New Roman" w:hAnsi="Times New Roman" w:eastAsia="方正仿宋_GBK" w:cs="Times New Roman"/>
                <w:color w:val="000000"/>
                <w:sz w:val="22"/>
                <w:szCs w:val="22"/>
              </w:rPr>
              <w:t>传  真</w:t>
            </w:r>
          </w:p>
        </w:tc>
        <w:tc>
          <w:tcPr>
            <w:tcW w:w="4016" w:type="dxa"/>
            <w:gridSpan w:val="3"/>
            <w:vMerge w:val="continue"/>
            <w:noWrap/>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方正仿宋_GBK" w:cs="Times New Roman"/>
                <w:color w:val="000000"/>
                <w:sz w:val="22"/>
                <w:szCs w:val="22"/>
              </w:rPr>
            </w:pPr>
          </w:p>
        </w:tc>
      </w:tr>
    </w:tbl>
    <w:p>
      <w:pPr>
        <w:pStyle w:val="21"/>
        <w:keepNext w:val="0"/>
        <w:keepLines w:val="0"/>
        <w:pageBreakBefore w:val="0"/>
        <w:widowControl/>
        <w:kinsoku/>
        <w:wordWrap/>
        <w:overflowPunct/>
        <w:topLinePunct w:val="0"/>
        <w:autoSpaceDE/>
        <w:autoSpaceDN/>
        <w:bidi w:val="0"/>
        <w:adjustRightInd/>
        <w:snapToGrid/>
        <w:spacing w:before="63" w:beforeLines="20" w:beforeAutospacing="0" w:after="0" w:afterAutospacing="0" w:line="300" w:lineRule="exact"/>
        <w:ind w:left="0" w:hanging="440" w:hangingChars="200"/>
        <w:textAlignment w:val="auto"/>
        <w:rPr>
          <w:rFonts w:hint="default" w:ascii="Times New Roman" w:hAnsi="Times New Roman" w:eastAsia="方正楷体_GBK" w:cs="Times New Roman"/>
          <w:sz w:val="22"/>
          <w:szCs w:val="22"/>
        </w:rPr>
        <w:sectPr>
          <w:pgSz w:w="11906" w:h="16838"/>
          <w:pgMar w:top="2098" w:right="1531" w:bottom="1984" w:left="1531" w:header="851" w:footer="1361" w:gutter="0"/>
          <w:pgNumType w:fmt="decimal"/>
          <w:cols w:space="425" w:num="1"/>
          <w:docGrid w:type="lines" w:linePitch="312" w:charSpace="0"/>
        </w:sectPr>
      </w:pPr>
      <w:r>
        <w:rPr>
          <w:rFonts w:hint="default" w:ascii="Times New Roman" w:hAnsi="Times New Roman" w:eastAsia="方正楷体_GBK" w:cs="Times New Roman"/>
          <w:sz w:val="22"/>
          <w:szCs w:val="22"/>
        </w:rPr>
        <w:t>注：射线装置的“主要参数”是指X射线机的电流（mA）和电压（kV）、加速器线束能量等主要性能参数</w:t>
      </w: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bookmarkStart w:id="95" w:name="_Toc82345127"/>
      <w:bookmarkStart w:id="96" w:name="_Toc86220889"/>
      <w:bookmarkStart w:id="97" w:name="_Toc526759238"/>
      <w:r>
        <w:rPr>
          <w:rFonts w:hint="default" w:ascii="Times New Roman" w:hAnsi="Times New Roman" w:eastAsia="方正黑体_GBK" w:cs="Times New Roman"/>
          <w:b w:val="0"/>
          <w:bCs w:val="0"/>
          <w:sz w:val="32"/>
          <w:szCs w:val="32"/>
        </w:rPr>
        <w:t>附件6：天宁区现有辐射装置应用单位名录</w:t>
      </w:r>
      <w:bookmarkEnd w:id="95"/>
      <w:bookmarkEnd w:id="96"/>
      <w:bookmarkEnd w:id="97"/>
    </w:p>
    <w:tbl>
      <w:tblPr>
        <w:tblStyle w:val="23"/>
        <w:tblW w:w="146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658"/>
        <w:gridCol w:w="3594"/>
        <w:gridCol w:w="4548"/>
        <w:gridCol w:w="1796"/>
        <w:gridCol w:w="1219"/>
        <w:gridCol w:w="2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tblHeader/>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黑体_GBK" w:cs="Times New Roman"/>
                <w:kern w:val="0"/>
                <w:sz w:val="21"/>
                <w:szCs w:val="21"/>
              </w:rPr>
            </w:pPr>
            <w:r>
              <w:rPr>
                <w:rFonts w:hint="default" w:ascii="Times New Roman" w:hAnsi="Times New Roman" w:eastAsia="方正黑体_GBK" w:cs="Times New Roman"/>
                <w:kern w:val="0"/>
                <w:sz w:val="21"/>
                <w:szCs w:val="21"/>
              </w:rPr>
              <w:t>序号</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黑体_GBK" w:cs="Times New Roman"/>
                <w:kern w:val="0"/>
                <w:sz w:val="21"/>
                <w:szCs w:val="21"/>
              </w:rPr>
            </w:pPr>
            <w:r>
              <w:rPr>
                <w:rFonts w:hint="default" w:ascii="Times New Roman" w:hAnsi="Times New Roman" w:eastAsia="方正黑体_GBK" w:cs="Times New Roman"/>
                <w:kern w:val="0"/>
                <w:sz w:val="21"/>
                <w:szCs w:val="21"/>
              </w:rPr>
              <w:t>单位名称</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黑体_GBK" w:cs="Times New Roman"/>
                <w:kern w:val="0"/>
                <w:sz w:val="21"/>
                <w:szCs w:val="21"/>
              </w:rPr>
            </w:pPr>
            <w:r>
              <w:rPr>
                <w:rFonts w:hint="default" w:ascii="Times New Roman" w:hAnsi="Times New Roman" w:eastAsia="方正黑体_GBK" w:cs="Times New Roman"/>
                <w:kern w:val="0"/>
                <w:sz w:val="21"/>
                <w:szCs w:val="21"/>
              </w:rPr>
              <w:t>单位地址</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黑体_GBK" w:cs="Times New Roman"/>
                <w:kern w:val="0"/>
                <w:sz w:val="21"/>
                <w:szCs w:val="21"/>
              </w:rPr>
            </w:pPr>
            <w:r>
              <w:rPr>
                <w:rFonts w:hint="default" w:ascii="Times New Roman" w:hAnsi="Times New Roman" w:eastAsia="方正黑体_GBK" w:cs="Times New Roman"/>
                <w:kern w:val="0"/>
                <w:sz w:val="21"/>
                <w:szCs w:val="21"/>
              </w:rPr>
              <w:t>放射源种类</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黑体_GBK" w:cs="Times New Roman"/>
                <w:kern w:val="0"/>
                <w:sz w:val="21"/>
                <w:szCs w:val="21"/>
              </w:rPr>
            </w:pPr>
            <w:r>
              <w:rPr>
                <w:rFonts w:hint="default" w:ascii="Times New Roman" w:hAnsi="Times New Roman" w:eastAsia="方正黑体_GBK" w:cs="Times New Roman"/>
                <w:kern w:val="0"/>
                <w:sz w:val="21"/>
                <w:szCs w:val="21"/>
              </w:rPr>
              <w:t>射线种类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黑体_GBK" w:cs="Times New Roman"/>
                <w:kern w:val="0"/>
                <w:sz w:val="21"/>
                <w:szCs w:val="21"/>
              </w:rPr>
            </w:pPr>
            <w:r>
              <w:rPr>
                <w:rFonts w:hint="default" w:ascii="Times New Roman" w:hAnsi="Times New Roman" w:eastAsia="方正黑体_GBK" w:cs="Times New Roman"/>
                <w:kern w:val="0"/>
                <w:sz w:val="21"/>
                <w:szCs w:val="21"/>
              </w:rPr>
              <w:t>辐射装置数量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常州市天宁区雕庄街道社区卫生服务中心</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常州市天宁区劳动东路626号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丙级非密封场所</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lang w:eastAsia="zh-CN"/>
              </w:rPr>
            </w:pPr>
            <w:r>
              <w:rPr>
                <w:rFonts w:hint="default" w:ascii="Times New Roman" w:hAnsi="Times New Roman" w:eastAsia="方正仿宋_GBK" w:cs="Times New Roman"/>
                <w:kern w:val="0"/>
                <w:sz w:val="21"/>
                <w:szCs w:val="21"/>
              </w:rPr>
              <w:t>1个丙级非密封场所</w:t>
            </w:r>
          </w:p>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常州市武进人民医院</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常州市天宁区永宁北路2号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丙级非密封场所</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Ⅱ类、Ⅲ类</w:t>
            </w:r>
          </w:p>
        </w:tc>
        <w:tc>
          <w:tcPr>
            <w:tcW w:w="287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lang w:eastAsia="zh-CN"/>
              </w:rPr>
            </w:pPr>
            <w:r>
              <w:rPr>
                <w:rFonts w:hint="default" w:ascii="Times New Roman" w:hAnsi="Times New Roman" w:eastAsia="方正仿宋_GBK" w:cs="Times New Roman"/>
                <w:kern w:val="0"/>
                <w:sz w:val="21"/>
                <w:szCs w:val="21"/>
              </w:rPr>
              <w:t>1个丙级非密封场所</w:t>
            </w:r>
          </w:p>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2台Ⅱ类射线、32台Ⅲ类射线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江苏煤炭地质勘探三队</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常州市延陵中路22号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Ⅳ类、Ⅴ类源</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4枚Ⅳ类源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常州市第一人民医院</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常州市天宁区局前街185号</w:t>
            </w:r>
          </w:p>
        </w:tc>
        <w:tc>
          <w:tcPr>
            <w:tcW w:w="17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lang w:eastAsia="zh-CN"/>
              </w:rPr>
            </w:pPr>
            <w:r>
              <w:rPr>
                <w:rFonts w:hint="default" w:ascii="Times New Roman" w:hAnsi="Times New Roman" w:eastAsia="方正仿宋_GBK" w:cs="Times New Roman"/>
                <w:kern w:val="0"/>
                <w:sz w:val="21"/>
                <w:szCs w:val="21"/>
              </w:rPr>
              <w:t>Ⅲ类、Ⅴ类源</w:t>
            </w:r>
          </w:p>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乙级非密封场所</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Ⅱ类、Ⅲ类</w:t>
            </w:r>
          </w:p>
        </w:tc>
        <w:tc>
          <w:tcPr>
            <w:tcW w:w="287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lang w:eastAsia="zh-CN"/>
              </w:rPr>
            </w:pPr>
            <w:r>
              <w:rPr>
                <w:rFonts w:hint="default" w:ascii="Times New Roman" w:hAnsi="Times New Roman" w:eastAsia="方正仿宋_GBK" w:cs="Times New Roman"/>
                <w:kern w:val="0"/>
                <w:sz w:val="21"/>
                <w:szCs w:val="21"/>
              </w:rPr>
              <w:t>1个乙级非密封场所</w:t>
            </w:r>
          </w:p>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lang w:eastAsia="zh-CN"/>
              </w:rPr>
            </w:pPr>
            <w:r>
              <w:rPr>
                <w:rFonts w:hint="default" w:ascii="Times New Roman" w:hAnsi="Times New Roman" w:eastAsia="方正仿宋_GBK" w:cs="Times New Roman"/>
                <w:kern w:val="0"/>
                <w:sz w:val="21"/>
                <w:szCs w:val="21"/>
              </w:rPr>
              <w:t>1枚Ⅲ类源、3枚Ⅴ类源</w:t>
            </w:r>
          </w:p>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7台Ⅱ类射线，48台Ⅲ类射线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5</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常州市第二人民医院</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常州市天宁区兴隆巷29号</w:t>
            </w:r>
          </w:p>
        </w:tc>
        <w:tc>
          <w:tcPr>
            <w:tcW w:w="17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lang w:eastAsia="zh-CN"/>
              </w:rPr>
            </w:pPr>
            <w:r>
              <w:rPr>
                <w:rFonts w:hint="default" w:ascii="Times New Roman" w:hAnsi="Times New Roman" w:eastAsia="方正仿宋_GBK" w:cs="Times New Roman"/>
                <w:kern w:val="0"/>
                <w:sz w:val="21"/>
                <w:szCs w:val="21"/>
              </w:rPr>
              <w:t>Ⅲ类、Ⅴ类源</w:t>
            </w:r>
          </w:p>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乙、丙非密封场所</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Ⅱ类、Ⅲ类</w:t>
            </w:r>
          </w:p>
        </w:tc>
        <w:tc>
          <w:tcPr>
            <w:tcW w:w="287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lang w:eastAsia="zh-CN"/>
              </w:rPr>
            </w:pPr>
            <w:r>
              <w:rPr>
                <w:rFonts w:hint="default" w:ascii="Times New Roman" w:hAnsi="Times New Roman" w:eastAsia="方正仿宋_GBK" w:cs="Times New Roman"/>
                <w:kern w:val="0"/>
                <w:sz w:val="21"/>
                <w:szCs w:val="21"/>
              </w:rPr>
              <w:t>2个乙、1个丙非密封场所</w:t>
            </w:r>
          </w:p>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lang w:eastAsia="zh-CN"/>
              </w:rPr>
            </w:pPr>
            <w:r>
              <w:rPr>
                <w:rFonts w:hint="default" w:ascii="Times New Roman" w:hAnsi="Times New Roman" w:eastAsia="方正仿宋_GBK" w:cs="Times New Roman"/>
                <w:kern w:val="0"/>
                <w:sz w:val="21"/>
                <w:szCs w:val="21"/>
              </w:rPr>
              <w:t>1枚Ⅲ类源，7枚Ⅴ类源</w:t>
            </w:r>
          </w:p>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6台Ⅱ类射线，42台Ⅲ类射线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6</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通标标准技术服务（常州）有限公司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 天宁区河海东路3号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Ⅱ类源</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Ⅱ类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3枚Ⅱ类源，7台Ⅱ类射线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7</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常州市中心血站</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江苏省常州市天宁区劳动中路8号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Ⅰ类、Ⅱ类源</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2枚Ⅱ类源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8</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常州爱美意口腔门诊部有限公司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常州市天宁区国泰名都12幢301号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9</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常州安信颐和康复医院有限公司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常州市天宁区丽华北路199号南区3号楼</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10</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常州北极星口腔医院有限公司兰陵分公司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常州市天宁区兰陵北路518号一楼</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11</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常州北极星口腔医院有限公司天宁分公司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常州市钟楼区劳动西路201号北极星口腔8楼8802室</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12</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常州船用电缆有限责任公司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常州市天宁区北塘河东路8号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Ⅱ类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1台Ⅱ类射线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13</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常州鼎武医疗门诊部有限公司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常州市天宁区唐家湾路8-2号、8-3号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14</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常州红泰口腔门诊医疗有限公司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常州市天宁区武青路138号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15</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常州隽新鼎武中医医院有限公司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常州市天宁区博爱路72号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16</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常州凯特喵宠物医院有限公司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常州市天宁区吊桥路荆溪人家1-10、-11号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17</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常州丽华医院有限公司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常州市天宁区丽华北路20号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18</w:t>
            </w:r>
          </w:p>
        </w:tc>
        <w:tc>
          <w:tcPr>
            <w:tcW w:w="35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lang w:eastAsia="zh-CN"/>
              </w:rPr>
            </w:pPr>
            <w:r>
              <w:rPr>
                <w:rFonts w:hint="default" w:ascii="Times New Roman" w:hAnsi="Times New Roman" w:eastAsia="方正仿宋_GBK" w:cs="Times New Roman"/>
                <w:kern w:val="0"/>
                <w:sz w:val="21"/>
                <w:szCs w:val="21"/>
              </w:rPr>
              <w:t>常州美多格动物诊疗有限公司</w:t>
            </w:r>
          </w:p>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飞龙分公司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常州市天宁区晋陵北苑11号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19</w:t>
            </w:r>
          </w:p>
        </w:tc>
        <w:tc>
          <w:tcPr>
            <w:tcW w:w="35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lang w:eastAsia="zh-CN"/>
              </w:rPr>
            </w:pPr>
            <w:r>
              <w:rPr>
                <w:rFonts w:hint="default" w:ascii="Times New Roman" w:hAnsi="Times New Roman" w:eastAsia="方正仿宋_GBK" w:cs="Times New Roman"/>
                <w:kern w:val="0"/>
                <w:sz w:val="21"/>
                <w:szCs w:val="21"/>
              </w:rPr>
              <w:t>常州美多格动物诊疗有限公司</w:t>
            </w:r>
          </w:p>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华润国际分公司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常州市天宁区华润国际花园42幢18号、19号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20</w:t>
            </w:r>
          </w:p>
        </w:tc>
        <w:tc>
          <w:tcPr>
            <w:tcW w:w="35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lang w:eastAsia="zh-CN"/>
              </w:rPr>
            </w:pPr>
            <w:r>
              <w:rPr>
                <w:rFonts w:hint="default" w:ascii="Times New Roman" w:hAnsi="Times New Roman" w:eastAsia="方正仿宋_GBK" w:cs="Times New Roman"/>
                <w:kern w:val="0"/>
                <w:sz w:val="21"/>
                <w:szCs w:val="21"/>
              </w:rPr>
              <w:t>常州美多格动物诊疗有限公司</w:t>
            </w:r>
          </w:p>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竹林分公司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常州市天宁区东方明珠花园2-5号、2-6号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21</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常州美莱医疗美容医院有限公司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常州市天宁区吊桥路18号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22</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常州美呀植联口腔门诊部有限公司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常州市天宁区新世界花苑16幢6、7、8号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23</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常州浦北医疗门诊部</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常州市天宁区晋陵南路96号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24</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常州仁慈医院</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常州市晋陵南路2号、中吴大道1518-1号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25</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常州瑞慈妇产医院有限公司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 天宁区飞龙东路679、689号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26</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常州瑞慈医疗器械有限公司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常州市天宁区飞龙东路679号，689号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销售单位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27</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常州赛恩动物诊疗有限公司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常州市天宁区同济花园1幢1-2号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28</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常州圣康口腔门诊部有限公司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常州市天宁区水晶城23-5</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29</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常州市博雅宠物医院有限责任公司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常州市天宁区关河东路32-1号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30</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常州市德安医院</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常州市天宁区丽华北路157号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5台Ⅲ类射线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31</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常州市第三人民医院</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常州市天宁区兰陵北路300号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Ⅱ类、Ⅲ类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1台Ⅱ类射线、13台Ⅲ类射线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2"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32</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常州市东太平洋口腔门诊部</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常州市天宁区局前街223号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33</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常州市儿童医院</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常州市天宁区延陵中路468号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9台Ⅲ类射线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34</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常州市福利院</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常州市天宁区劳动东路18号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35</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常州市华东生物技术有限公司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常州市天宁区兰陵街道弘阳上城21幢</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Ⅱ类、Ⅲ类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销售单位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36</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常州市华立液压润滑设备有限公司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常州市天宁区郑陆镇三河口街</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Ⅱ类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3台Ⅱ类射线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37</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常州市精艺机械制造有限公司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常州市天宁区丁塘路2号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Ⅱ类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1台Ⅱ类射线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38</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常州市瑞鹏宠物医院有限公司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常州市天宁区府河名居3-106</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39</w:t>
            </w:r>
          </w:p>
        </w:tc>
        <w:tc>
          <w:tcPr>
            <w:tcW w:w="35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lang w:eastAsia="zh-CN"/>
              </w:rPr>
            </w:pPr>
            <w:r>
              <w:rPr>
                <w:rFonts w:hint="default" w:ascii="Times New Roman" w:hAnsi="Times New Roman" w:eastAsia="方正仿宋_GBK" w:cs="Times New Roman"/>
                <w:kern w:val="0"/>
                <w:sz w:val="21"/>
                <w:szCs w:val="21"/>
              </w:rPr>
              <w:t>常州市瑞鹏宠物医院有限公司</w:t>
            </w:r>
          </w:p>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水晶城分公司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常州市天宁区水晶城1-14号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40</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常州市天宁区红梅街道社区卫生服务中心</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常州市竹林南路20号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5台Ⅲ类射线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41</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常州市天宁区青龙街道社区卫生服务中心</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常州市天宁区青龙街22号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5台Ⅲ类射线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42</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常州市天宁区青龙俊磊宠物诊疗所</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 天宁区青龙街道阳光龙庭92号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43</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常州市天宁区郑陆镇卫生院</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常州市天宁区郑陆镇迎宾路40号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5台Ⅲ类射线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44</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常州市武牧动物医院</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常州市天宁区飞龙东路24号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45</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常州市中医医院</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常州市天宁区和平北路25号,和平中路231号，北直街59、61号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Ⅱ类、Ⅲ类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3台Ⅱ类射线，24台Ⅲ类射线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46</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常州天宁龙洋金铂利口腔门诊部有限公司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常州市天宁区延陵中路578-6号105室</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47</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常州小陆动物诊疗有限公司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常州市天宁区兰陵路42-5号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48</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常州优德口腔门诊部有限公司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常州市天宁区晋陵北路1号新天地商业广场A座501室</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49</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常州优佳口腔门诊部有限公司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常州市天宁区华润国际花园1幢2号房</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50</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常州中吴鼎武医疗门诊部有限公司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常州市天宁区新堂北路66号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51</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江苏爱特伯康医疗门诊部有限公司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常州市天宁区通江南路238号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3台Ⅲ类射线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52</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江苏金陵干燥科技有限公司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常州市天宁区郑陆镇常河路501号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Ⅱ类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2台Ⅱ类射线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53</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江苏武进不锈股份有限公司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常州市天宁区武澄西路1号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Ⅱ类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16台Ⅱ类射线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54</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江苏益钒生物科技有限公司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常州市天宁区兰陵街道弘阳上城21幢3层</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Ⅱ类、Ⅲ类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销售单位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55</w:t>
            </w:r>
          </w:p>
        </w:tc>
        <w:tc>
          <w:tcPr>
            <w:tcW w:w="35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南京艾贝尔宠物有限公司常州飞龙宠物医院分公司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常州市天宁区晋陵北苑9号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56</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天宁区茶山爱骑玛宠物医院</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常州市天宁区茶山街道富强村委蒋家庄230号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57</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天宁区茶山好享宠宠物诊所</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常州市天宁区茶山街道劳动中路292号-12</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58</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天宁区茶山晋缘动物医院</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常州市天宁区茶山街道新城毅境园16号商铺</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59</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天宁区红梅皓洁口腔门诊部</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常州市 天宁区红梅街道翠竹新村202号6号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60</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天宁区红梅惟爱宠物诊所</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常州市天宁区红梅街道东方明珠花园1-3号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61</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天宁区兰陵瑞尔口腔门诊部</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常州市天宁区晋陵南路56号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62</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天宁区兰陵阳光清晨宠物诊所</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 天宁区兰陵北路国泰名都5-17号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63</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天宁区兰陵优佳宠物医院</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常州市天宁区九洲新世界花苑5-3/5-4</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64</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天宁区天宁安美宠物医院</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常州市天宁区中山路67号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65</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天宁区天宁宏美宠物医院</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常州市天宁区小东门路102-13号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1台Ⅲ类射线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5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66</w:t>
            </w:r>
          </w:p>
        </w:tc>
        <w:tc>
          <w:tcPr>
            <w:tcW w:w="35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伊顿电力设备有限公司</w:t>
            </w:r>
          </w:p>
        </w:tc>
        <w:tc>
          <w:tcPr>
            <w:tcW w:w="4548"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常州外向型农业综合开发区横塘河西路1号</w:t>
            </w:r>
          </w:p>
        </w:tc>
        <w:tc>
          <w:tcPr>
            <w:tcW w:w="1796"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　</w:t>
            </w:r>
          </w:p>
        </w:tc>
        <w:tc>
          <w:tcPr>
            <w:tcW w:w="12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Ⅱ类、Ⅲ类</w:t>
            </w:r>
          </w:p>
        </w:tc>
        <w:tc>
          <w:tcPr>
            <w:tcW w:w="287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方正仿宋_GBK" w:cs="Times New Roman"/>
                <w:kern w:val="0"/>
                <w:sz w:val="21"/>
                <w:szCs w:val="21"/>
              </w:rPr>
            </w:pPr>
            <w:r>
              <w:rPr>
                <w:rFonts w:hint="default" w:ascii="Times New Roman" w:hAnsi="Times New Roman" w:eastAsia="方正仿宋_GBK" w:cs="Times New Roman"/>
                <w:kern w:val="0"/>
                <w:sz w:val="21"/>
                <w:szCs w:val="21"/>
              </w:rPr>
              <w:t>1台Ⅱ、1台Ⅲ类射线</w:t>
            </w:r>
          </w:p>
        </w:tc>
      </w:tr>
    </w:tbl>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eastAsia" w:ascii="Times New Roman" w:hAnsi="Times New Roman" w:eastAsia="方正黑体_GBK" w:cs="Times New Roman"/>
          <w:b w:val="0"/>
          <w:bCs w:val="0"/>
          <w:sz w:val="32"/>
          <w:szCs w:val="32"/>
        </w:rPr>
      </w:pPr>
      <w:bookmarkStart w:id="98" w:name="_Toc86220890"/>
      <w:r>
        <w:rPr>
          <w:rFonts w:hint="eastAsia" w:ascii="Times New Roman" w:hAnsi="Times New Roman" w:eastAsia="方正黑体_GBK" w:cs="Times New Roman"/>
          <w:b w:val="0"/>
          <w:bCs w:val="0"/>
          <w:sz w:val="32"/>
          <w:szCs w:val="32"/>
        </w:rPr>
        <w:drawing>
          <wp:anchor distT="0" distB="0" distL="114300" distR="114300" simplePos="0" relativeHeight="251660288" behindDoc="0" locked="0" layoutInCell="1" allowOverlap="1">
            <wp:simplePos x="0" y="0"/>
            <wp:positionH relativeFrom="column">
              <wp:posOffset>228600</wp:posOffset>
            </wp:positionH>
            <wp:positionV relativeFrom="paragraph">
              <wp:posOffset>436880</wp:posOffset>
            </wp:positionV>
            <wp:extent cx="8795385" cy="5371465"/>
            <wp:effectExtent l="0" t="0" r="5715" b="63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8795385" cy="5371465"/>
                    </a:xfrm>
                    <a:prstGeom prst="rect">
                      <a:avLst/>
                    </a:prstGeom>
                  </pic:spPr>
                </pic:pic>
              </a:graphicData>
            </a:graphic>
          </wp:anchor>
        </w:drawing>
      </w:r>
      <w:r>
        <w:rPr>
          <w:rFonts w:hint="eastAsia" w:ascii="Times New Roman" w:hAnsi="Times New Roman" w:eastAsia="方正黑体_GBK" w:cs="Times New Roman"/>
          <w:b w:val="0"/>
          <w:bCs w:val="0"/>
          <w:sz w:val="32"/>
          <w:szCs w:val="32"/>
        </w:rPr>
        <w:t>附图1：天宁区重点辐射装置应用单位分布</w:t>
      </w:r>
      <w:bookmarkEnd w:id="98"/>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eastAsia"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eastAsia"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eastAsia"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eastAsia"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eastAsia"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eastAsia"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eastAsia"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eastAsia"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eastAsia"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jc w:val="right"/>
        <w:textAlignment w:val="auto"/>
        <w:outlineLvl w:val="3"/>
        <w:rPr>
          <w:rFonts w:hint="eastAsia" w:ascii="Times New Roman" w:hAnsi="Times New Roman" w:eastAsia="方正黑体_GBK" w:cs="Times New Roman"/>
          <w:b w:val="0"/>
          <w:bCs w:val="0"/>
          <w:sz w:val="32"/>
          <w:szCs w:val="32"/>
        </w:rPr>
        <w:sectPr>
          <w:pgSz w:w="16838" w:h="11906" w:orient="landscape"/>
          <w:pgMar w:top="1417" w:right="1134" w:bottom="1417" w:left="1134" w:header="851" w:footer="1134" w:gutter="0"/>
          <w:pgNumType w:fmt="decimal"/>
          <w:cols w:space="425" w:num="1"/>
          <w:docGrid w:type="lines" w:linePitch="312" w:charSpace="0"/>
        </w:sect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jc w:val="right"/>
        <w:textAlignment w:val="auto"/>
        <w:outlineLvl w:val="3"/>
        <w:rPr>
          <w:rFonts w:hint="eastAsia" w:ascii="Times New Roman" w:hAnsi="Times New Roman" w:eastAsia="方正黑体_GBK" w:cs="Times New Roman"/>
          <w:b w:val="0"/>
          <w:bCs w:val="0"/>
          <w:sz w:val="32"/>
          <w:szCs w:val="32"/>
        </w:rPr>
      </w:pPr>
    </w:p>
    <w:p>
      <w:pPr>
        <w:pStyle w:val="46"/>
        <w:keepNext w:val="0"/>
        <w:keepLines w:val="0"/>
        <w:pageBreakBefore w:val="0"/>
        <w:widowControl w:val="0"/>
        <w:kinsoku/>
        <w:wordWrap/>
        <w:overflowPunct/>
        <w:topLinePunct w:val="0"/>
        <w:autoSpaceDE/>
        <w:autoSpaceDN/>
        <w:bidi w:val="0"/>
        <w:adjustRightInd/>
        <w:snapToGrid/>
        <w:spacing w:after="157" w:afterLines="50" w:line="570" w:lineRule="exact"/>
        <w:textAlignment w:val="auto"/>
        <w:outlineLvl w:val="3"/>
        <w:rPr>
          <w:rFonts w:hint="default" w:ascii="Times New Roman" w:hAnsi="Times New Roman" w:eastAsia="方正黑体_GBK" w:cs="Times New Roman"/>
          <w:b w:val="0"/>
          <w:bCs w:val="0"/>
          <w:sz w:val="32"/>
          <w:szCs w:val="32"/>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tabs>
          <w:tab w:val="left" w:pos="766"/>
        </w:tabs>
        <w:bidi w:val="0"/>
        <w:jc w:val="left"/>
        <w:rPr>
          <w:rFonts w:hint="eastAsia" w:eastAsia="宋体"/>
          <w:lang w:eastAsia="zh-CN"/>
        </w:rPr>
      </w:pPr>
      <w:r>
        <w:rPr>
          <w:rFonts w:hint="eastAsia"/>
          <w:lang w:eastAsia="zh-CN"/>
        </w:rPr>
        <w:tab/>
      </w:r>
    </w:p>
    <w:tbl>
      <w:tblPr>
        <w:tblStyle w:val="23"/>
        <w:tblpPr w:leftFromText="181" w:rightFromText="181" w:horzAnchor="margin" w:tblpXSpec="center" w:tblpYSpec="bottom"/>
        <w:tblW w:w="8845" w:type="dxa"/>
        <w:tblInd w:w="0" w:type="dxa"/>
        <w:tblBorders>
          <w:top w:val="single" w:color="auto" w:sz="8" w:space="0"/>
          <w:left w:val="none" w:color="auto" w:sz="0" w:space="0"/>
          <w:bottom w:val="single" w:color="auto" w:sz="8" w:space="0"/>
          <w:right w:val="none" w:color="auto" w:sz="0" w:space="0"/>
          <w:insideH w:val="single" w:color="auto" w:sz="6" w:space="0"/>
          <w:insideV w:val="none" w:color="auto" w:sz="0" w:space="0"/>
        </w:tblBorders>
        <w:tblLayout w:type="fixed"/>
        <w:tblCellMar>
          <w:top w:w="0" w:type="dxa"/>
          <w:left w:w="108" w:type="dxa"/>
          <w:bottom w:w="0" w:type="dxa"/>
          <w:right w:w="108" w:type="dxa"/>
        </w:tblCellMar>
      </w:tblPr>
      <w:tblGrid>
        <w:gridCol w:w="8845"/>
      </w:tblGrid>
      <w:tr>
        <w:tblPrEx>
          <w:tblBorders>
            <w:top w:val="single" w:color="auto" w:sz="8" w:space="0"/>
            <w:left w:val="none" w:color="auto" w:sz="0" w:space="0"/>
            <w:bottom w:val="single" w:color="auto" w:sz="8" w:space="0"/>
            <w:right w:val="none" w:color="auto" w:sz="0" w:space="0"/>
            <w:insideH w:val="single" w:color="auto" w:sz="6" w:space="0"/>
            <w:insideV w:val="none" w:color="auto" w:sz="0" w:space="0"/>
          </w:tblBorders>
          <w:tblCellMar>
            <w:top w:w="0" w:type="dxa"/>
            <w:left w:w="108" w:type="dxa"/>
            <w:bottom w:w="0" w:type="dxa"/>
            <w:right w:w="108" w:type="dxa"/>
          </w:tblCellMar>
        </w:tblPrEx>
        <w:tc>
          <w:tcPr>
            <w:tcW w:w="8845" w:type="dxa"/>
            <w:noWrap w:val="0"/>
            <w:vAlign w:val="top"/>
          </w:tcPr>
          <w:p>
            <w:pPr>
              <w:spacing w:line="560" w:lineRule="exact"/>
              <w:ind w:left="0" w:leftChars="0" w:right="210" w:rightChars="100" w:firstLine="280" w:firstLineChars="100"/>
              <w:rPr>
                <w:rFonts w:hint="default" w:ascii="Times New Roman" w:hAnsi="Times New Roman" w:eastAsia="方正仿宋_GBK" w:cs="Times New Roman"/>
                <w:sz w:val="28"/>
                <w:szCs w:val="28"/>
              </w:rPr>
            </w:pPr>
            <w:r>
              <w:rPr>
                <w:rFonts w:hint="default" w:ascii="Times New Roman" w:hAnsi="Times New Roman" w:eastAsia="方正仿宋_GBK" w:cs="Times New Roman"/>
                <w:sz w:val="28"/>
                <w:szCs w:val="28"/>
              </w:rPr>
              <w:t xml:space="preserve">常州市天宁区人民政府办公室         </w:t>
            </w:r>
            <w:r>
              <w:rPr>
                <w:rFonts w:hint="eastAsia" w:ascii="Times New Roman" w:hAnsi="Times New Roman" w:cs="Times New Roman"/>
                <w:sz w:val="28"/>
                <w:szCs w:val="28"/>
                <w:lang w:val="en-US" w:eastAsia="zh-CN"/>
              </w:rPr>
              <w:t xml:space="preserve">  </w:t>
            </w:r>
            <w:r>
              <w:rPr>
                <w:rFonts w:hint="default" w:ascii="Times New Roman" w:hAnsi="Times New Roman" w:eastAsia="方正仿宋_GBK" w:cs="Times New Roman"/>
                <w:sz w:val="28"/>
                <w:szCs w:val="28"/>
              </w:rPr>
              <w:t xml:space="preserve"> 202</w:t>
            </w:r>
            <w:r>
              <w:rPr>
                <w:rFonts w:hint="eastAsia" w:ascii="Times New Roman" w:hAnsi="Times New Roman" w:cs="Times New Roman"/>
                <w:sz w:val="28"/>
                <w:szCs w:val="28"/>
                <w:lang w:val="en-US" w:eastAsia="zh-CN"/>
              </w:rPr>
              <w:t>2</w:t>
            </w:r>
            <w:r>
              <w:rPr>
                <w:rFonts w:hint="default" w:ascii="Times New Roman" w:hAnsi="Times New Roman" w:eastAsia="方正仿宋_GBK" w:cs="Times New Roman"/>
                <w:sz w:val="28"/>
                <w:szCs w:val="28"/>
              </w:rPr>
              <w:t>年</w:t>
            </w:r>
            <w:r>
              <w:rPr>
                <w:rFonts w:hint="eastAsia" w:ascii="Times New Roman" w:hAnsi="Times New Roman" w:cs="Times New Roman"/>
                <w:sz w:val="28"/>
                <w:szCs w:val="28"/>
                <w:lang w:val="en-US" w:eastAsia="zh-CN"/>
              </w:rPr>
              <w:t>1</w:t>
            </w:r>
            <w:r>
              <w:rPr>
                <w:rFonts w:hint="default" w:ascii="Times New Roman" w:hAnsi="Times New Roman" w:eastAsia="方正仿宋_GBK" w:cs="Times New Roman"/>
                <w:sz w:val="28"/>
                <w:szCs w:val="28"/>
              </w:rPr>
              <w:t>月</w:t>
            </w:r>
            <w:r>
              <w:rPr>
                <w:rFonts w:hint="eastAsia" w:ascii="Times New Roman" w:hAnsi="Times New Roman" w:cs="Times New Roman"/>
                <w:sz w:val="28"/>
                <w:szCs w:val="28"/>
                <w:lang w:val="en-US" w:eastAsia="zh-CN"/>
              </w:rPr>
              <w:t>24</w:t>
            </w:r>
            <w:r>
              <w:rPr>
                <w:rFonts w:hint="default" w:ascii="Times New Roman" w:hAnsi="Times New Roman" w:eastAsia="方正仿宋_GBK" w:cs="Times New Roman"/>
                <w:sz w:val="28"/>
                <w:szCs w:val="28"/>
              </w:rPr>
              <w:t>日印发</w:t>
            </w:r>
          </w:p>
        </w:tc>
      </w:tr>
    </w:tbl>
    <w:p>
      <w:pPr>
        <w:tabs>
          <w:tab w:val="left" w:pos="766"/>
        </w:tabs>
        <w:bidi w:val="0"/>
        <w:jc w:val="left"/>
        <w:rPr>
          <w:rFonts w:hint="eastAsia" w:eastAsia="宋体"/>
          <w:lang w:eastAsia="zh-CN"/>
        </w:rPr>
      </w:pPr>
    </w:p>
    <w:p>
      <w:pPr>
        <w:bidi w:val="0"/>
        <w:rPr>
          <w:rFonts w:hint="eastAsia" w:ascii="Times New Roman" w:hAnsi="Times New Roman" w:eastAsia="宋体" w:cs="Times New Roman"/>
          <w:kern w:val="2"/>
          <w:sz w:val="21"/>
          <w:szCs w:val="24"/>
          <w:lang w:val="en-US" w:eastAsia="zh-CN" w:bidi="ar-SA"/>
        </w:rPr>
      </w:pPr>
    </w:p>
    <w:p>
      <w:pPr>
        <w:bidi w:val="0"/>
        <w:rPr>
          <w:rFonts w:hint="eastAsia"/>
          <w:lang w:val="en-US" w:eastAsia="zh-CN"/>
        </w:rPr>
      </w:pPr>
    </w:p>
    <w:p>
      <w:pPr>
        <w:bidi w:val="0"/>
        <w:rPr>
          <w:rFonts w:hint="eastAsia"/>
          <w:lang w:val="en-US" w:eastAsia="zh-CN"/>
        </w:rPr>
      </w:pPr>
    </w:p>
    <w:p>
      <w:pPr>
        <w:tabs>
          <w:tab w:val="left" w:pos="6569"/>
        </w:tabs>
        <w:bidi w:val="0"/>
        <w:jc w:val="left"/>
        <w:rPr>
          <w:rFonts w:hint="eastAsia"/>
          <w:lang w:val="en-US" w:eastAsia="zh-CN"/>
        </w:rPr>
      </w:pPr>
      <w:r>
        <w:rPr>
          <w:rFonts w:hint="eastAsia"/>
          <w:lang w:val="en-US" w:eastAsia="zh-CN"/>
        </w:rPr>
        <w:tab/>
      </w:r>
    </w:p>
    <w:sectPr>
      <w:pgSz w:w="11906" w:h="16838"/>
      <w:pgMar w:top="2098" w:right="1531" w:bottom="1984" w:left="1531" w:header="851" w:footer="1134"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2"/>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5A0FF967-C130-45DD-8ACC-9C37D2D8755A}"/>
  </w:font>
  <w:font w:name="Arial">
    <w:panose1 w:val="020B0604020202020204"/>
    <w:charset w:val="01"/>
    <w:family w:val="swiss"/>
    <w:pitch w:val="default"/>
    <w:sig w:usb0="E0002AFF" w:usb1="C0007843" w:usb2="00000009" w:usb3="00000000" w:csb0="400001FF" w:csb1="FFFF0000"/>
    <w:embedRegular r:id="rId2" w:fontKey="{66F71B79-69A1-4EC5-95E0-DA24E4B5BA05}"/>
  </w:font>
  <w:font w:name="黑体">
    <w:panose1 w:val="02010609060101010101"/>
    <w:charset w:val="86"/>
    <w:family w:val="auto"/>
    <w:pitch w:val="default"/>
    <w:sig w:usb0="800002BF" w:usb1="38CF7CFA" w:usb2="00000016" w:usb3="00000000" w:csb0="00040001" w:csb1="00000000"/>
    <w:embedRegular r:id="rId3" w:fontKey="{370B0283-8C3A-47E6-B600-2F6820F61A9A}"/>
  </w:font>
  <w:font w:name="Courier New">
    <w:panose1 w:val="02070309020205020404"/>
    <w:charset w:val="01"/>
    <w:family w:val="modern"/>
    <w:pitch w:val="default"/>
    <w:sig w:usb0="E0002AFF" w:usb1="C0007843" w:usb2="00000009" w:usb3="00000000" w:csb0="400001FF" w:csb1="FFFF0000"/>
    <w:embedRegular r:id="rId4" w:fontKey="{029808ED-B49E-4EE0-8C2C-0A9E12272FB0}"/>
  </w:font>
  <w:font w:name="Symbol">
    <w:panose1 w:val="05050102010706020507"/>
    <w:charset w:val="02"/>
    <w:family w:val="roman"/>
    <w:pitch w:val="default"/>
    <w:sig w:usb0="00000000" w:usb1="00000000" w:usb2="00000000" w:usb3="00000000" w:csb0="80000000" w:csb1="00000000"/>
    <w:embedRegular r:id="rId5" w:fontKey="{8BD0FC94-5BAC-4A0D-A269-154DDDA79B29}"/>
  </w:font>
  <w:font w:name="Calibri">
    <w:panose1 w:val="020F0502020204030204"/>
    <w:charset w:val="00"/>
    <w:family w:val="swiss"/>
    <w:pitch w:val="default"/>
    <w:sig w:usb0="E00002FF" w:usb1="4000ACFF" w:usb2="00000001" w:usb3="00000000" w:csb0="2000019F" w:csb1="00000000"/>
    <w:embedRegular r:id="rId6" w:fontKey="{6B38C27C-EFD4-4AA3-AA1B-D30E68157A1F}"/>
  </w:font>
  <w:font w:name="Cambria">
    <w:panose1 w:val="02040503050406030204"/>
    <w:charset w:val="00"/>
    <w:family w:val="roman"/>
    <w:pitch w:val="default"/>
    <w:sig w:usb0="E00002FF" w:usb1="400004FF" w:usb2="00000000" w:usb3="00000000" w:csb0="2000019F" w:csb1="00000000"/>
    <w:embedRegular r:id="rId7" w:fontKey="{82D604BD-C877-43DF-9591-E1C294D97080}"/>
  </w:font>
  <w:font w:name="仿宋_GB2312">
    <w:panose1 w:val="02010609030101010101"/>
    <w:charset w:val="86"/>
    <w:family w:val="modern"/>
    <w:pitch w:val="default"/>
    <w:sig w:usb0="00000001" w:usb1="080E0000" w:usb2="00000000" w:usb3="00000000" w:csb0="00040000" w:csb1="00000000"/>
    <w:embedRegular r:id="rId8" w:fontKey="{24860E50-EC4A-40E2-8E36-09B11A07D918}"/>
  </w:font>
  <w:font w:name="TimesNewRomanPSMT">
    <w:altName w:val="Times New Roman"/>
    <w:panose1 w:val="00000000000000000000"/>
    <w:charset w:val="00"/>
    <w:family w:val="roman"/>
    <w:pitch w:val="default"/>
    <w:sig w:usb0="00000000" w:usb1="00000000" w:usb2="00000000" w:usb3="00000000" w:csb0="00000000" w:csb1="00000000"/>
    <w:embedRegular r:id="rId9" w:fontKey="{7BE44B29-E831-4E2F-99CF-89BBFFF61DF9}"/>
  </w:font>
  <w:font w:name="方正公文小标宋">
    <w:altName w:val="宋体"/>
    <w:panose1 w:val="02000500000000000000"/>
    <w:charset w:val="86"/>
    <w:family w:val="auto"/>
    <w:pitch w:val="default"/>
    <w:sig w:usb0="00000000" w:usb1="00000000" w:usb2="00000016" w:usb3="00000000" w:csb0="00040001" w:csb1="00000000"/>
    <w:embedRegular r:id="rId10" w:fontKey="{D324607A-40D4-4045-8A3C-FFCF2B3A6EE5}"/>
  </w:font>
  <w:font w:name="方正仿宋_GBK">
    <w:panose1 w:val="03000509000000000000"/>
    <w:charset w:val="86"/>
    <w:family w:val="script"/>
    <w:pitch w:val="default"/>
    <w:sig w:usb0="00000001" w:usb1="080E0000" w:usb2="00000000" w:usb3="00000000" w:csb0="00040000" w:csb1="00000000"/>
    <w:embedRegular r:id="rId11" w:fontKey="{C82ECEB5-EBCC-4B9F-AB30-E4A62BF738B1}"/>
  </w:font>
  <w:font w:name="方正小标宋_GBK">
    <w:panose1 w:val="03000509000000000000"/>
    <w:charset w:val="86"/>
    <w:family w:val="script"/>
    <w:pitch w:val="default"/>
    <w:sig w:usb0="00000001" w:usb1="080E0000" w:usb2="00000000" w:usb3="00000000" w:csb0="00040000" w:csb1="00000000"/>
    <w:embedRegular r:id="rId12" w:fontKey="{E357CC74-839F-4F1E-8642-6C16BE9FD409}"/>
  </w:font>
  <w:font w:name="仿宋">
    <w:panose1 w:val="02010609060101010101"/>
    <w:charset w:val="86"/>
    <w:family w:val="auto"/>
    <w:pitch w:val="default"/>
    <w:sig w:usb0="800002BF" w:usb1="38CF7CFA" w:usb2="00000016" w:usb3="00000000" w:csb0="00040001" w:csb1="00000000"/>
    <w:embedRegular r:id="rId13" w:fontKey="{4F9F2BD2-6FA3-413D-B2D4-6C93E473E2CE}"/>
  </w:font>
  <w:font w:name="方正黑体_GBK">
    <w:panose1 w:val="03000509000000000000"/>
    <w:charset w:val="86"/>
    <w:family w:val="script"/>
    <w:pitch w:val="default"/>
    <w:sig w:usb0="00000001" w:usb1="080E0000" w:usb2="00000000" w:usb3="00000000" w:csb0="00040000" w:csb1="00000000"/>
    <w:embedRegular r:id="rId14" w:fontKey="{58160432-6892-419A-8C4E-5DC6B9C7EA95}"/>
  </w:font>
  <w:font w:name="楷体_GB2312">
    <w:panose1 w:val="02010609030101010101"/>
    <w:charset w:val="86"/>
    <w:family w:val="modern"/>
    <w:pitch w:val="default"/>
    <w:sig w:usb0="00000001" w:usb1="080E0000" w:usb2="00000000" w:usb3="00000000" w:csb0="00040000" w:csb1="00000000"/>
    <w:embedRegular r:id="rId15" w:fontKey="{6B0A5720-97D9-4510-B6AE-D9B739AD8592}"/>
  </w:font>
  <w:font w:name="方正楷体_GBK">
    <w:panose1 w:val="03000509000000000000"/>
    <w:charset w:val="86"/>
    <w:family w:val="script"/>
    <w:pitch w:val="default"/>
    <w:sig w:usb0="00000001" w:usb1="080E0000" w:usb2="00000000" w:usb3="00000000" w:csb0="00040000" w:csb1="00000000"/>
    <w:embedRegular r:id="rId16" w:fontKey="{8F8DA7EE-DDD8-4DB1-BD2B-502E9D8BBBD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64389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64389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keepNext w:val="0"/>
                            <w:keepLines w:val="0"/>
                            <w:pageBreakBefore w:val="0"/>
                            <w:widowControl w:val="0"/>
                            <w:kinsoku/>
                            <w:wordWrap/>
                            <w:overflowPunct/>
                            <w:topLinePunct w:val="0"/>
                            <w:autoSpaceDE/>
                            <w:autoSpaceDN/>
                            <w:bidi w:val="0"/>
                            <w:adjustRightInd/>
                            <w:snapToGrid w:val="0"/>
                            <w:textAlignment w:val="auto"/>
                            <w:rPr>
                              <w:rFonts w:hint="eastAsia" w:ascii="宋体" w:hAnsi="宋体" w:eastAsia="宋体" w:cs="宋体"/>
                              <w:sz w:val="28"/>
                              <w:szCs w:val="28"/>
                              <w:lang w:val="en-US" w:eastAsia="zh-CN"/>
                            </w:rPr>
                          </w:pPr>
                          <w:r>
                            <w:rPr>
                              <w:rFonts w:hint="eastAsia" w:ascii="宋体" w:hAnsi="宋体" w:cs="宋体"/>
                              <w:sz w:val="28"/>
                              <w:szCs w:val="28"/>
                              <w:lang w:eastAsia="zh-CN"/>
                            </w:rPr>
                            <w:t>—</w:t>
                          </w:r>
                          <w:r>
                            <w:rPr>
                              <w:rFonts w:hint="eastAsia" w:ascii="宋体" w:hAnsi="宋体" w:cs="宋体"/>
                              <w:sz w:val="28"/>
                              <w:szCs w:val="28"/>
                              <w:lang w:val="en-US" w:eastAsia="zh-CN"/>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r>
                            <w:rPr>
                              <w:rFonts w:hint="eastAsia" w:ascii="宋体" w:hAnsi="宋体" w:cs="宋体"/>
                              <w:sz w:val="28"/>
                              <w:szCs w:val="28"/>
                              <w:lang w:val="en-US" w:eastAsia="zh-CN"/>
                            </w:rPr>
                            <w:t xml:space="preserve"> —</w:t>
                          </w:r>
                        </w:p>
                      </w:txbxContent>
                    </wps:txbx>
                    <wps:bodyPr rot="0" spcFirstLastPara="0" vertOverflow="overflow" horzOverflow="overflow" vert="horz" wrap="squar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50.7pt;mso-position-horizontal:outside;mso-position-horizontal-relative:margin;z-index:251660288;mso-width-relative:page;mso-height-relative:page;" filled="f" stroked="f" coordsize="21600,21600" o:gfxdata="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j9Hui9QAAAAFAQAADwAAAAAAAAABACAAAAAiAAAAZHJzL2Rvd25yZXYu&#10;eG1sUEsBAhQAFAAAAAgAh07iQMVnRYk4AgAAYgQAAA4AAAAAAAAAAQAgAAAAIwEAAGRycy9lMm9E&#10;b2MueG1sUEsFBgAAAAAGAAYAWQEAAM0FAAAAAA==&#10;">
              <v:fill on="f" focussize="0,0"/>
              <v:stroke on="f" weight="0.5pt"/>
              <v:imagedata o:title=""/>
              <o:lock v:ext="edit" aspectratio="f"/>
              <v:textbox inset="0mm,0mm,0mm,0mm" style="mso-fit-shape-to-text:t;">
                <w:txbxContent>
                  <w:p>
                    <w:pPr>
                      <w:pStyle w:val="15"/>
                      <w:keepNext w:val="0"/>
                      <w:keepLines w:val="0"/>
                      <w:pageBreakBefore w:val="0"/>
                      <w:widowControl w:val="0"/>
                      <w:kinsoku/>
                      <w:wordWrap/>
                      <w:overflowPunct/>
                      <w:topLinePunct w:val="0"/>
                      <w:autoSpaceDE/>
                      <w:autoSpaceDN/>
                      <w:bidi w:val="0"/>
                      <w:adjustRightInd/>
                      <w:snapToGrid w:val="0"/>
                      <w:textAlignment w:val="auto"/>
                      <w:rPr>
                        <w:rFonts w:hint="eastAsia" w:ascii="宋体" w:hAnsi="宋体" w:eastAsia="宋体" w:cs="宋体"/>
                        <w:sz w:val="28"/>
                        <w:szCs w:val="28"/>
                        <w:lang w:val="en-US" w:eastAsia="zh-CN"/>
                      </w:rPr>
                    </w:pPr>
                    <w:r>
                      <w:rPr>
                        <w:rFonts w:hint="eastAsia" w:ascii="宋体" w:hAnsi="宋体" w:cs="宋体"/>
                        <w:sz w:val="28"/>
                        <w:szCs w:val="28"/>
                        <w:lang w:eastAsia="zh-CN"/>
                      </w:rPr>
                      <w:t>—</w:t>
                    </w:r>
                    <w:r>
                      <w:rPr>
                        <w:rFonts w:hint="eastAsia" w:ascii="宋体" w:hAnsi="宋体" w:cs="宋体"/>
                        <w:sz w:val="28"/>
                        <w:szCs w:val="28"/>
                        <w:lang w:val="en-US" w:eastAsia="zh-CN"/>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r>
                      <w:rPr>
                        <w:rFonts w:hint="eastAsia" w:ascii="宋体" w:hAnsi="宋体" w:cs="宋体"/>
                        <w:sz w:val="28"/>
                        <w:szCs w:val="28"/>
                        <w:lang w:val="en-US" w:eastAsia="zh-CN"/>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-17145</wp:posOffset>
              </wp:positionV>
              <wp:extent cx="855980" cy="236855"/>
              <wp:effectExtent l="0" t="0" r="0" b="0"/>
              <wp:wrapNone/>
              <wp:docPr id="3" name="文本框 3"/>
              <wp:cNvGraphicFramePr/>
              <a:graphic xmlns:a="http://schemas.openxmlformats.org/drawingml/2006/main">
                <a:graphicData uri="http://schemas.microsoft.com/office/word/2010/wordprocessingShape">
                  <wps:wsp>
                    <wps:cNvSpPr txBox="1"/>
                    <wps:spPr>
                      <a:xfrm>
                        <a:off x="0" y="0"/>
                        <a:ext cx="855980" cy="2368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keepNext w:val="0"/>
                            <w:keepLines w:val="0"/>
                            <w:pageBreakBefore w:val="0"/>
                            <w:widowControl w:val="0"/>
                            <w:kinsoku/>
                            <w:wordWrap/>
                            <w:overflowPunct/>
                            <w:topLinePunct w:val="0"/>
                            <w:autoSpaceDE/>
                            <w:autoSpaceDN/>
                            <w:bidi w:val="0"/>
                            <w:adjustRightInd/>
                            <w:snapToGrid w:val="0"/>
                            <w:textAlignment w:val="auto"/>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eastAsia="zh-CN"/>
                            </w:rPr>
                            <w:t>—</w:t>
                          </w:r>
                          <w:r>
                            <w:rPr>
                              <w:rFonts w:hint="eastAsia" w:asciiTheme="minorEastAsia" w:hAnsiTheme="minorEastAsia" w:eastAsiaTheme="minorEastAsia" w:cstheme="minorEastAsia"/>
                              <w:sz w:val="28"/>
                              <w:szCs w:val="28"/>
                              <w:lang w:val="en-US" w:eastAsia="zh-CN"/>
                            </w:rPr>
                            <w:t xml:space="preserve"> </w:t>
                          </w: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  \* MERGEFORMAT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- 1 -</w:t>
                          </w:r>
                          <w:r>
                            <w:rPr>
                              <w:rFonts w:hint="eastAsia" w:asciiTheme="minorEastAsia" w:hAnsiTheme="minorEastAsia" w:eastAsiaTheme="minorEastAsia" w:cstheme="minorEastAsia"/>
                              <w:sz w:val="28"/>
                              <w:szCs w:val="28"/>
                            </w:rPr>
                            <w:fldChar w:fldCharType="end"/>
                          </w:r>
                          <w:r>
                            <w:rPr>
                              <w:rFonts w:hint="eastAsia" w:asciiTheme="minorEastAsia" w:hAnsiTheme="minorEastAsia" w:eastAsiaTheme="minorEastAsia" w:cstheme="minorEastAsia"/>
                              <w:sz w:val="28"/>
                              <w:szCs w:val="28"/>
                              <w:lang w:val="en-US" w:eastAsia="zh-CN"/>
                            </w:rPr>
                            <w:t xml:space="preserve"> —</w:t>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top:-1.35pt;height:18.65pt;width:67.4pt;mso-position-horizontal:outside;mso-position-horizontal-relative:margin;z-index:251659264;mso-width-relative:page;mso-height-relative:page;" filled="f" stroked="f" coordsize="21600,21600" o:gfxdata="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Y4Y/91QAAAAYBAAAPAAAAAAAAAAEAIAAAACIAAABkcnMvZG93bnJldi54&#10;bWxQSwECFAAUAAAACACHTuJA1hsOxjYCAABhBAAADgAAAAAAAAABACAAAAAkAQAAZHJzL2Uyb0Rv&#10;Yy54bWxQSwUGAAAAAAYABgBZAQAAzAUAAAAA&#10;">
              <v:fill on="f" focussize="0,0"/>
              <v:stroke on="f" weight="0.5pt"/>
              <v:imagedata o:title=""/>
              <o:lock v:ext="edit" aspectratio="f"/>
              <v:textbox inset="0mm,0mm,0mm,0mm">
                <w:txbxContent>
                  <w:p>
                    <w:pPr>
                      <w:pStyle w:val="15"/>
                      <w:keepNext w:val="0"/>
                      <w:keepLines w:val="0"/>
                      <w:pageBreakBefore w:val="0"/>
                      <w:widowControl w:val="0"/>
                      <w:kinsoku/>
                      <w:wordWrap/>
                      <w:overflowPunct/>
                      <w:topLinePunct w:val="0"/>
                      <w:autoSpaceDE/>
                      <w:autoSpaceDN/>
                      <w:bidi w:val="0"/>
                      <w:adjustRightInd/>
                      <w:snapToGrid w:val="0"/>
                      <w:textAlignment w:val="auto"/>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eastAsia="zh-CN"/>
                      </w:rPr>
                      <w:t>—</w:t>
                    </w:r>
                    <w:r>
                      <w:rPr>
                        <w:rFonts w:hint="eastAsia" w:asciiTheme="minorEastAsia" w:hAnsiTheme="minorEastAsia" w:eastAsiaTheme="minorEastAsia" w:cstheme="minorEastAsia"/>
                        <w:sz w:val="28"/>
                        <w:szCs w:val="28"/>
                        <w:lang w:val="en-US" w:eastAsia="zh-CN"/>
                      </w:rPr>
                      <w:t xml:space="preserve"> </w:t>
                    </w: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  \* MERGEFORMAT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- 1 -</w:t>
                    </w:r>
                    <w:r>
                      <w:rPr>
                        <w:rFonts w:hint="eastAsia" w:asciiTheme="minorEastAsia" w:hAnsiTheme="minorEastAsia" w:eastAsiaTheme="minorEastAsia" w:cstheme="minorEastAsia"/>
                        <w:sz w:val="28"/>
                        <w:szCs w:val="28"/>
                      </w:rPr>
                      <w:fldChar w:fldCharType="end"/>
                    </w:r>
                    <w:r>
                      <w:rPr>
                        <w:rFonts w:hint="eastAsia" w:asciiTheme="minorEastAsia" w:hAnsiTheme="minorEastAsia" w:eastAsiaTheme="minorEastAsia" w:cstheme="minorEastAsia"/>
                        <w:sz w:val="28"/>
                        <w:szCs w:val="28"/>
                        <w:lang w:val="en-US" w:eastAsia="zh-CN"/>
                      </w:rP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23A15B"/>
    <w:multiLevelType w:val="singleLevel"/>
    <w:tmpl w:val="8823A15B"/>
    <w:lvl w:ilvl="0" w:tentative="0">
      <w:start w:val="3"/>
      <w:numFmt w:val="decimal"/>
      <w:suff w:val="nothing"/>
      <w:lvlText w:val="%1.　"/>
      <w:lvlJc w:val="left"/>
    </w:lvl>
  </w:abstractNum>
  <w:abstractNum w:abstractNumId="1">
    <w:nsid w:val="DEF4AE92"/>
    <w:multiLevelType w:val="singleLevel"/>
    <w:tmpl w:val="DEF4AE92"/>
    <w:lvl w:ilvl="0" w:tentative="0">
      <w:start w:val="8"/>
      <w:numFmt w:val="decimal"/>
      <w:suff w:val="nothing"/>
      <w:lvlText w:val="%1.　"/>
      <w:lvlJc w:val="left"/>
    </w:lvl>
  </w:abstractNum>
  <w:abstractNum w:abstractNumId="2">
    <w:nsid w:val="E5515110"/>
    <w:multiLevelType w:val="singleLevel"/>
    <w:tmpl w:val="E5515110"/>
    <w:lvl w:ilvl="0" w:tentative="0">
      <w:start w:val="4"/>
      <w:numFmt w:val="decimal"/>
      <w:suff w:val="nothing"/>
      <w:lvlText w:val="%1.　"/>
      <w:lvlJc w:val="left"/>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1"/>
  <w:bordersDoNotSurroundFooter w:val="1"/>
  <w:documentProtection w:enforcement="0"/>
  <w:defaultTabStop w:val="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2E05"/>
    <w:rsid w:val="000016D7"/>
    <w:rsid w:val="00002B4C"/>
    <w:rsid w:val="00005229"/>
    <w:rsid w:val="00007D10"/>
    <w:rsid w:val="00020EDA"/>
    <w:rsid w:val="00025476"/>
    <w:rsid w:val="00025C96"/>
    <w:rsid w:val="0003302C"/>
    <w:rsid w:val="00036FDE"/>
    <w:rsid w:val="000375EF"/>
    <w:rsid w:val="00041E38"/>
    <w:rsid w:val="00041FB6"/>
    <w:rsid w:val="0004382B"/>
    <w:rsid w:val="000444EA"/>
    <w:rsid w:val="00044E7A"/>
    <w:rsid w:val="00045E41"/>
    <w:rsid w:val="00047FD1"/>
    <w:rsid w:val="0005146D"/>
    <w:rsid w:val="000572C0"/>
    <w:rsid w:val="00057FE4"/>
    <w:rsid w:val="00060A6F"/>
    <w:rsid w:val="00064194"/>
    <w:rsid w:val="000700E2"/>
    <w:rsid w:val="0007111C"/>
    <w:rsid w:val="00072D8B"/>
    <w:rsid w:val="000764F2"/>
    <w:rsid w:val="00080582"/>
    <w:rsid w:val="00081DA1"/>
    <w:rsid w:val="00085291"/>
    <w:rsid w:val="00086EBF"/>
    <w:rsid w:val="00087615"/>
    <w:rsid w:val="000879E5"/>
    <w:rsid w:val="00090BD2"/>
    <w:rsid w:val="000910F5"/>
    <w:rsid w:val="000942A5"/>
    <w:rsid w:val="00094BEF"/>
    <w:rsid w:val="000967B3"/>
    <w:rsid w:val="000968BF"/>
    <w:rsid w:val="000A2E6E"/>
    <w:rsid w:val="000B047A"/>
    <w:rsid w:val="000B0FF2"/>
    <w:rsid w:val="000B1481"/>
    <w:rsid w:val="000B1B6F"/>
    <w:rsid w:val="000B3C96"/>
    <w:rsid w:val="000B6061"/>
    <w:rsid w:val="000B6809"/>
    <w:rsid w:val="000B7B89"/>
    <w:rsid w:val="000C108E"/>
    <w:rsid w:val="000C4EF5"/>
    <w:rsid w:val="000C5095"/>
    <w:rsid w:val="000C591F"/>
    <w:rsid w:val="000C76AF"/>
    <w:rsid w:val="000D2AEB"/>
    <w:rsid w:val="000D57F1"/>
    <w:rsid w:val="000D62A0"/>
    <w:rsid w:val="000D665C"/>
    <w:rsid w:val="000E08D6"/>
    <w:rsid w:val="000E43C6"/>
    <w:rsid w:val="000E65F2"/>
    <w:rsid w:val="000E768F"/>
    <w:rsid w:val="000E79A6"/>
    <w:rsid w:val="000E7AB3"/>
    <w:rsid w:val="000F1725"/>
    <w:rsid w:val="000F7DEC"/>
    <w:rsid w:val="001020B4"/>
    <w:rsid w:val="001043D9"/>
    <w:rsid w:val="00104ECB"/>
    <w:rsid w:val="0011476D"/>
    <w:rsid w:val="00114A26"/>
    <w:rsid w:val="00121482"/>
    <w:rsid w:val="00131922"/>
    <w:rsid w:val="00132A0E"/>
    <w:rsid w:val="00140A0A"/>
    <w:rsid w:val="00141A3B"/>
    <w:rsid w:val="0015069E"/>
    <w:rsid w:val="00155E60"/>
    <w:rsid w:val="00160A2E"/>
    <w:rsid w:val="00166BFD"/>
    <w:rsid w:val="0016756D"/>
    <w:rsid w:val="001715FE"/>
    <w:rsid w:val="00172CC9"/>
    <w:rsid w:val="00172DF3"/>
    <w:rsid w:val="00172EF6"/>
    <w:rsid w:val="0017585B"/>
    <w:rsid w:val="00176773"/>
    <w:rsid w:val="0017679F"/>
    <w:rsid w:val="00176CC5"/>
    <w:rsid w:val="00180361"/>
    <w:rsid w:val="00182537"/>
    <w:rsid w:val="00182D5A"/>
    <w:rsid w:val="0018644F"/>
    <w:rsid w:val="00194155"/>
    <w:rsid w:val="00194912"/>
    <w:rsid w:val="00195236"/>
    <w:rsid w:val="00196B57"/>
    <w:rsid w:val="001A111D"/>
    <w:rsid w:val="001A3E68"/>
    <w:rsid w:val="001A6B85"/>
    <w:rsid w:val="001B07BE"/>
    <w:rsid w:val="001C2BC1"/>
    <w:rsid w:val="001D27CC"/>
    <w:rsid w:val="001E1186"/>
    <w:rsid w:val="001F404A"/>
    <w:rsid w:val="001F4D1D"/>
    <w:rsid w:val="001F52B6"/>
    <w:rsid w:val="001F5C4C"/>
    <w:rsid w:val="0020326E"/>
    <w:rsid w:val="00203588"/>
    <w:rsid w:val="00204E89"/>
    <w:rsid w:val="002062ED"/>
    <w:rsid w:val="00207365"/>
    <w:rsid w:val="00211538"/>
    <w:rsid w:val="0021444A"/>
    <w:rsid w:val="002158AF"/>
    <w:rsid w:val="00222879"/>
    <w:rsid w:val="00227C4A"/>
    <w:rsid w:val="00230BD8"/>
    <w:rsid w:val="00231CF9"/>
    <w:rsid w:val="00232A08"/>
    <w:rsid w:val="0023439A"/>
    <w:rsid w:val="00237E90"/>
    <w:rsid w:val="0024058A"/>
    <w:rsid w:val="002410C9"/>
    <w:rsid w:val="002414B1"/>
    <w:rsid w:val="002422F3"/>
    <w:rsid w:val="00243B26"/>
    <w:rsid w:val="002511A9"/>
    <w:rsid w:val="0025237F"/>
    <w:rsid w:val="00254103"/>
    <w:rsid w:val="00254292"/>
    <w:rsid w:val="002608B1"/>
    <w:rsid w:val="002619DA"/>
    <w:rsid w:val="00267120"/>
    <w:rsid w:val="00280AAD"/>
    <w:rsid w:val="00281893"/>
    <w:rsid w:val="00281AD1"/>
    <w:rsid w:val="00285110"/>
    <w:rsid w:val="00285FBE"/>
    <w:rsid w:val="00291F2D"/>
    <w:rsid w:val="002921AE"/>
    <w:rsid w:val="002928FB"/>
    <w:rsid w:val="00294D82"/>
    <w:rsid w:val="00297064"/>
    <w:rsid w:val="002A00A2"/>
    <w:rsid w:val="002A04B3"/>
    <w:rsid w:val="002A3ED0"/>
    <w:rsid w:val="002A6352"/>
    <w:rsid w:val="002A71D0"/>
    <w:rsid w:val="002A7334"/>
    <w:rsid w:val="002A7E99"/>
    <w:rsid w:val="002B3AFA"/>
    <w:rsid w:val="002B74D4"/>
    <w:rsid w:val="002C0614"/>
    <w:rsid w:val="002C0842"/>
    <w:rsid w:val="002C0D2C"/>
    <w:rsid w:val="002D1A49"/>
    <w:rsid w:val="002D3293"/>
    <w:rsid w:val="002D3629"/>
    <w:rsid w:val="002D39F4"/>
    <w:rsid w:val="002D69E1"/>
    <w:rsid w:val="002E066C"/>
    <w:rsid w:val="002E2493"/>
    <w:rsid w:val="002E38C1"/>
    <w:rsid w:val="002E3ACE"/>
    <w:rsid w:val="002E52DF"/>
    <w:rsid w:val="002F1554"/>
    <w:rsid w:val="002F3489"/>
    <w:rsid w:val="002F3BE8"/>
    <w:rsid w:val="00300751"/>
    <w:rsid w:val="00302CF8"/>
    <w:rsid w:val="003118D7"/>
    <w:rsid w:val="00317E1B"/>
    <w:rsid w:val="00324F27"/>
    <w:rsid w:val="00326446"/>
    <w:rsid w:val="0033360D"/>
    <w:rsid w:val="003339D8"/>
    <w:rsid w:val="00336DA0"/>
    <w:rsid w:val="003442EE"/>
    <w:rsid w:val="00350839"/>
    <w:rsid w:val="003567B0"/>
    <w:rsid w:val="00357F77"/>
    <w:rsid w:val="00362E05"/>
    <w:rsid w:val="00363A50"/>
    <w:rsid w:val="0037223C"/>
    <w:rsid w:val="00373E61"/>
    <w:rsid w:val="00384B48"/>
    <w:rsid w:val="003853C4"/>
    <w:rsid w:val="00387A1E"/>
    <w:rsid w:val="00392DEB"/>
    <w:rsid w:val="00392FC7"/>
    <w:rsid w:val="003935BE"/>
    <w:rsid w:val="00394576"/>
    <w:rsid w:val="003958FA"/>
    <w:rsid w:val="0039672D"/>
    <w:rsid w:val="003A2278"/>
    <w:rsid w:val="003A3B5C"/>
    <w:rsid w:val="003A69B0"/>
    <w:rsid w:val="003B0164"/>
    <w:rsid w:val="003B0C0F"/>
    <w:rsid w:val="003B1AE4"/>
    <w:rsid w:val="003B3021"/>
    <w:rsid w:val="003B387A"/>
    <w:rsid w:val="003C076E"/>
    <w:rsid w:val="003C2671"/>
    <w:rsid w:val="003C2F82"/>
    <w:rsid w:val="003C638E"/>
    <w:rsid w:val="003C68B2"/>
    <w:rsid w:val="003C78FB"/>
    <w:rsid w:val="003D4A8C"/>
    <w:rsid w:val="003D6350"/>
    <w:rsid w:val="003E1376"/>
    <w:rsid w:val="003E3C8B"/>
    <w:rsid w:val="003E7AC5"/>
    <w:rsid w:val="003F0039"/>
    <w:rsid w:val="003F047D"/>
    <w:rsid w:val="003F28A8"/>
    <w:rsid w:val="003F4721"/>
    <w:rsid w:val="004147CD"/>
    <w:rsid w:val="00415205"/>
    <w:rsid w:val="004153D9"/>
    <w:rsid w:val="004318E1"/>
    <w:rsid w:val="00436C69"/>
    <w:rsid w:val="00440236"/>
    <w:rsid w:val="00444116"/>
    <w:rsid w:val="00444B12"/>
    <w:rsid w:val="00445D56"/>
    <w:rsid w:val="00452FA8"/>
    <w:rsid w:val="00453BB9"/>
    <w:rsid w:val="00461CDB"/>
    <w:rsid w:val="00465484"/>
    <w:rsid w:val="0046572F"/>
    <w:rsid w:val="004716A7"/>
    <w:rsid w:val="00472582"/>
    <w:rsid w:val="0047489C"/>
    <w:rsid w:val="00476701"/>
    <w:rsid w:val="004768C6"/>
    <w:rsid w:val="00477391"/>
    <w:rsid w:val="00483708"/>
    <w:rsid w:val="00483927"/>
    <w:rsid w:val="0048500A"/>
    <w:rsid w:val="004858AE"/>
    <w:rsid w:val="004865C1"/>
    <w:rsid w:val="00491335"/>
    <w:rsid w:val="00492545"/>
    <w:rsid w:val="004A1315"/>
    <w:rsid w:val="004A3C7A"/>
    <w:rsid w:val="004A6122"/>
    <w:rsid w:val="004A69DD"/>
    <w:rsid w:val="004A7270"/>
    <w:rsid w:val="004B2B11"/>
    <w:rsid w:val="004B3956"/>
    <w:rsid w:val="004B5CAC"/>
    <w:rsid w:val="004C375D"/>
    <w:rsid w:val="004C4923"/>
    <w:rsid w:val="004C5314"/>
    <w:rsid w:val="004D3DFB"/>
    <w:rsid w:val="004D3F04"/>
    <w:rsid w:val="004D6202"/>
    <w:rsid w:val="004E1479"/>
    <w:rsid w:val="004E32AF"/>
    <w:rsid w:val="004E46A5"/>
    <w:rsid w:val="004E6385"/>
    <w:rsid w:val="004E7847"/>
    <w:rsid w:val="004F3930"/>
    <w:rsid w:val="004F396D"/>
    <w:rsid w:val="004F71A6"/>
    <w:rsid w:val="004F7CE9"/>
    <w:rsid w:val="00506C05"/>
    <w:rsid w:val="00506DC8"/>
    <w:rsid w:val="0051256F"/>
    <w:rsid w:val="00514DD9"/>
    <w:rsid w:val="00515D71"/>
    <w:rsid w:val="00515DB8"/>
    <w:rsid w:val="00515E28"/>
    <w:rsid w:val="00517C0D"/>
    <w:rsid w:val="00520BD1"/>
    <w:rsid w:val="005216BB"/>
    <w:rsid w:val="00521CF2"/>
    <w:rsid w:val="00523DCC"/>
    <w:rsid w:val="00526405"/>
    <w:rsid w:val="00527424"/>
    <w:rsid w:val="0053229C"/>
    <w:rsid w:val="005342CA"/>
    <w:rsid w:val="00537ABE"/>
    <w:rsid w:val="00540A03"/>
    <w:rsid w:val="00540A2A"/>
    <w:rsid w:val="00545111"/>
    <w:rsid w:val="00546272"/>
    <w:rsid w:val="005508BA"/>
    <w:rsid w:val="00551768"/>
    <w:rsid w:val="00553C26"/>
    <w:rsid w:val="00555543"/>
    <w:rsid w:val="00557732"/>
    <w:rsid w:val="00562071"/>
    <w:rsid w:val="005672D7"/>
    <w:rsid w:val="005672F0"/>
    <w:rsid w:val="00567A82"/>
    <w:rsid w:val="0057483A"/>
    <w:rsid w:val="0057684A"/>
    <w:rsid w:val="00580CAF"/>
    <w:rsid w:val="005825E3"/>
    <w:rsid w:val="005838EC"/>
    <w:rsid w:val="005869A3"/>
    <w:rsid w:val="00592AEF"/>
    <w:rsid w:val="005A132C"/>
    <w:rsid w:val="005A17F3"/>
    <w:rsid w:val="005A2CC8"/>
    <w:rsid w:val="005A43C7"/>
    <w:rsid w:val="005A60BB"/>
    <w:rsid w:val="005A7ABF"/>
    <w:rsid w:val="005C0C5E"/>
    <w:rsid w:val="005C159F"/>
    <w:rsid w:val="005C1D94"/>
    <w:rsid w:val="005C2142"/>
    <w:rsid w:val="005C56DA"/>
    <w:rsid w:val="005D0A74"/>
    <w:rsid w:val="005D487C"/>
    <w:rsid w:val="005D4A84"/>
    <w:rsid w:val="005D5776"/>
    <w:rsid w:val="005D77E8"/>
    <w:rsid w:val="005D7B5A"/>
    <w:rsid w:val="005E3EB6"/>
    <w:rsid w:val="005E61B5"/>
    <w:rsid w:val="005E694C"/>
    <w:rsid w:val="005E6A33"/>
    <w:rsid w:val="005F2807"/>
    <w:rsid w:val="005F2B74"/>
    <w:rsid w:val="005F508F"/>
    <w:rsid w:val="005F62FD"/>
    <w:rsid w:val="005F691D"/>
    <w:rsid w:val="00601C10"/>
    <w:rsid w:val="00602897"/>
    <w:rsid w:val="00607569"/>
    <w:rsid w:val="006132CF"/>
    <w:rsid w:val="00622628"/>
    <w:rsid w:val="0062690B"/>
    <w:rsid w:val="006527E9"/>
    <w:rsid w:val="00655DF6"/>
    <w:rsid w:val="00662923"/>
    <w:rsid w:val="00665F46"/>
    <w:rsid w:val="006676AB"/>
    <w:rsid w:val="00672F8A"/>
    <w:rsid w:val="006842A9"/>
    <w:rsid w:val="00686021"/>
    <w:rsid w:val="00687F76"/>
    <w:rsid w:val="00691B44"/>
    <w:rsid w:val="0069430A"/>
    <w:rsid w:val="00694F87"/>
    <w:rsid w:val="00695C89"/>
    <w:rsid w:val="006A3EA2"/>
    <w:rsid w:val="006A4EEF"/>
    <w:rsid w:val="006A7C83"/>
    <w:rsid w:val="006B0167"/>
    <w:rsid w:val="006B4D7E"/>
    <w:rsid w:val="006B5A54"/>
    <w:rsid w:val="006B5B93"/>
    <w:rsid w:val="006B7B74"/>
    <w:rsid w:val="006C15C8"/>
    <w:rsid w:val="006C5466"/>
    <w:rsid w:val="006D14B8"/>
    <w:rsid w:val="006D1CDA"/>
    <w:rsid w:val="006D32A6"/>
    <w:rsid w:val="006E09EE"/>
    <w:rsid w:val="006E0B1A"/>
    <w:rsid w:val="006E14E7"/>
    <w:rsid w:val="006E2D1F"/>
    <w:rsid w:val="006E31CD"/>
    <w:rsid w:val="006E46C7"/>
    <w:rsid w:val="006E4BD5"/>
    <w:rsid w:val="006E564C"/>
    <w:rsid w:val="006E73A5"/>
    <w:rsid w:val="006F0480"/>
    <w:rsid w:val="006F11B9"/>
    <w:rsid w:val="006F1281"/>
    <w:rsid w:val="006F17A6"/>
    <w:rsid w:val="006F2E14"/>
    <w:rsid w:val="006F4370"/>
    <w:rsid w:val="00703034"/>
    <w:rsid w:val="00714B78"/>
    <w:rsid w:val="00715A22"/>
    <w:rsid w:val="00717554"/>
    <w:rsid w:val="00721495"/>
    <w:rsid w:val="007223DC"/>
    <w:rsid w:val="00722582"/>
    <w:rsid w:val="00722CAE"/>
    <w:rsid w:val="00723033"/>
    <w:rsid w:val="00725B23"/>
    <w:rsid w:val="00726C4A"/>
    <w:rsid w:val="00730C39"/>
    <w:rsid w:val="007369D2"/>
    <w:rsid w:val="00737063"/>
    <w:rsid w:val="007409FE"/>
    <w:rsid w:val="00742352"/>
    <w:rsid w:val="00745239"/>
    <w:rsid w:val="0074730A"/>
    <w:rsid w:val="00751F3C"/>
    <w:rsid w:val="00754ADD"/>
    <w:rsid w:val="00760329"/>
    <w:rsid w:val="00761C75"/>
    <w:rsid w:val="00765051"/>
    <w:rsid w:val="007667C7"/>
    <w:rsid w:val="007668E7"/>
    <w:rsid w:val="00780582"/>
    <w:rsid w:val="007806B9"/>
    <w:rsid w:val="00782751"/>
    <w:rsid w:val="007848A0"/>
    <w:rsid w:val="007856C7"/>
    <w:rsid w:val="007861ED"/>
    <w:rsid w:val="00787259"/>
    <w:rsid w:val="0078728F"/>
    <w:rsid w:val="00794BFE"/>
    <w:rsid w:val="00796268"/>
    <w:rsid w:val="0079642C"/>
    <w:rsid w:val="00797543"/>
    <w:rsid w:val="007A2764"/>
    <w:rsid w:val="007A4E97"/>
    <w:rsid w:val="007B0FB5"/>
    <w:rsid w:val="007B4854"/>
    <w:rsid w:val="007B6937"/>
    <w:rsid w:val="007C4DDB"/>
    <w:rsid w:val="007C7AB2"/>
    <w:rsid w:val="007D363E"/>
    <w:rsid w:val="007D3814"/>
    <w:rsid w:val="007D50AD"/>
    <w:rsid w:val="007D62C4"/>
    <w:rsid w:val="007D62D3"/>
    <w:rsid w:val="007E0521"/>
    <w:rsid w:val="007E0D5B"/>
    <w:rsid w:val="007E21D3"/>
    <w:rsid w:val="007E359C"/>
    <w:rsid w:val="007E36C0"/>
    <w:rsid w:val="007E36C2"/>
    <w:rsid w:val="007E52B9"/>
    <w:rsid w:val="007E59BF"/>
    <w:rsid w:val="007E6AED"/>
    <w:rsid w:val="007E70F5"/>
    <w:rsid w:val="007E7FAE"/>
    <w:rsid w:val="007F052A"/>
    <w:rsid w:val="007F5C5F"/>
    <w:rsid w:val="007F7390"/>
    <w:rsid w:val="008018A0"/>
    <w:rsid w:val="00803746"/>
    <w:rsid w:val="008056A1"/>
    <w:rsid w:val="00805E36"/>
    <w:rsid w:val="008130AB"/>
    <w:rsid w:val="00816F27"/>
    <w:rsid w:val="00820A70"/>
    <w:rsid w:val="00820C92"/>
    <w:rsid w:val="00830014"/>
    <w:rsid w:val="008308F6"/>
    <w:rsid w:val="00831455"/>
    <w:rsid w:val="00831BAB"/>
    <w:rsid w:val="00832FA6"/>
    <w:rsid w:val="008473F7"/>
    <w:rsid w:val="00850B8C"/>
    <w:rsid w:val="00851A35"/>
    <w:rsid w:val="0085597E"/>
    <w:rsid w:val="00855A01"/>
    <w:rsid w:val="0085781A"/>
    <w:rsid w:val="00860774"/>
    <w:rsid w:val="00861B0F"/>
    <w:rsid w:val="0086769E"/>
    <w:rsid w:val="00870CCD"/>
    <w:rsid w:val="008732C7"/>
    <w:rsid w:val="00873778"/>
    <w:rsid w:val="00877786"/>
    <w:rsid w:val="00880508"/>
    <w:rsid w:val="008829CF"/>
    <w:rsid w:val="008831AE"/>
    <w:rsid w:val="0088654F"/>
    <w:rsid w:val="00886BD6"/>
    <w:rsid w:val="00890A99"/>
    <w:rsid w:val="0089253A"/>
    <w:rsid w:val="00893734"/>
    <w:rsid w:val="008943C9"/>
    <w:rsid w:val="008975BA"/>
    <w:rsid w:val="008A0463"/>
    <w:rsid w:val="008A3DDA"/>
    <w:rsid w:val="008A3E43"/>
    <w:rsid w:val="008A472C"/>
    <w:rsid w:val="008A66A3"/>
    <w:rsid w:val="008B2466"/>
    <w:rsid w:val="008C00E2"/>
    <w:rsid w:val="008C083D"/>
    <w:rsid w:val="008C6160"/>
    <w:rsid w:val="008D0FD9"/>
    <w:rsid w:val="008D184C"/>
    <w:rsid w:val="008D3E29"/>
    <w:rsid w:val="008D509A"/>
    <w:rsid w:val="008E414A"/>
    <w:rsid w:val="008E660C"/>
    <w:rsid w:val="008E687B"/>
    <w:rsid w:val="008F053C"/>
    <w:rsid w:val="008F1777"/>
    <w:rsid w:val="00903605"/>
    <w:rsid w:val="009120AD"/>
    <w:rsid w:val="009153A4"/>
    <w:rsid w:val="009164BC"/>
    <w:rsid w:val="00916658"/>
    <w:rsid w:val="00916D9B"/>
    <w:rsid w:val="00922A2B"/>
    <w:rsid w:val="00924554"/>
    <w:rsid w:val="00924BA7"/>
    <w:rsid w:val="00936229"/>
    <w:rsid w:val="00937A30"/>
    <w:rsid w:val="00942376"/>
    <w:rsid w:val="00943D64"/>
    <w:rsid w:val="00944CE2"/>
    <w:rsid w:val="009466DC"/>
    <w:rsid w:val="0094684C"/>
    <w:rsid w:val="00947A67"/>
    <w:rsid w:val="009558AE"/>
    <w:rsid w:val="00960ACF"/>
    <w:rsid w:val="00960FE6"/>
    <w:rsid w:val="00965931"/>
    <w:rsid w:val="00965AE3"/>
    <w:rsid w:val="0096657C"/>
    <w:rsid w:val="00966A31"/>
    <w:rsid w:val="009718BE"/>
    <w:rsid w:val="00972238"/>
    <w:rsid w:val="00974F08"/>
    <w:rsid w:val="009774CF"/>
    <w:rsid w:val="00980227"/>
    <w:rsid w:val="009839C1"/>
    <w:rsid w:val="0098490B"/>
    <w:rsid w:val="00984C78"/>
    <w:rsid w:val="00985958"/>
    <w:rsid w:val="00993E4F"/>
    <w:rsid w:val="009A1B94"/>
    <w:rsid w:val="009B106C"/>
    <w:rsid w:val="009B11EE"/>
    <w:rsid w:val="009B2832"/>
    <w:rsid w:val="009B381E"/>
    <w:rsid w:val="009B3CF4"/>
    <w:rsid w:val="009B4821"/>
    <w:rsid w:val="009B71A6"/>
    <w:rsid w:val="009B7A37"/>
    <w:rsid w:val="009C0ECE"/>
    <w:rsid w:val="009C4C40"/>
    <w:rsid w:val="009C60CE"/>
    <w:rsid w:val="009C7331"/>
    <w:rsid w:val="009C7CF6"/>
    <w:rsid w:val="009D0662"/>
    <w:rsid w:val="009D072F"/>
    <w:rsid w:val="009D1172"/>
    <w:rsid w:val="009D2790"/>
    <w:rsid w:val="009D478F"/>
    <w:rsid w:val="009D7064"/>
    <w:rsid w:val="009E4BED"/>
    <w:rsid w:val="009E72B1"/>
    <w:rsid w:val="009E76ED"/>
    <w:rsid w:val="009F1C17"/>
    <w:rsid w:val="009F215B"/>
    <w:rsid w:val="009F2455"/>
    <w:rsid w:val="009F6C0F"/>
    <w:rsid w:val="00A028E5"/>
    <w:rsid w:val="00A02C69"/>
    <w:rsid w:val="00A04702"/>
    <w:rsid w:val="00A06FC2"/>
    <w:rsid w:val="00A07083"/>
    <w:rsid w:val="00A10705"/>
    <w:rsid w:val="00A1191C"/>
    <w:rsid w:val="00A133DA"/>
    <w:rsid w:val="00A15DC1"/>
    <w:rsid w:val="00A15EBA"/>
    <w:rsid w:val="00A244BE"/>
    <w:rsid w:val="00A26BBE"/>
    <w:rsid w:val="00A327D6"/>
    <w:rsid w:val="00A35BFA"/>
    <w:rsid w:val="00A37B72"/>
    <w:rsid w:val="00A41771"/>
    <w:rsid w:val="00A42B4C"/>
    <w:rsid w:val="00A46E93"/>
    <w:rsid w:val="00A515C3"/>
    <w:rsid w:val="00A6448D"/>
    <w:rsid w:val="00A67D88"/>
    <w:rsid w:val="00A708BE"/>
    <w:rsid w:val="00A72523"/>
    <w:rsid w:val="00A752B6"/>
    <w:rsid w:val="00A819A7"/>
    <w:rsid w:val="00A81AB2"/>
    <w:rsid w:val="00A90A40"/>
    <w:rsid w:val="00A91770"/>
    <w:rsid w:val="00A928F6"/>
    <w:rsid w:val="00A933FF"/>
    <w:rsid w:val="00A9425A"/>
    <w:rsid w:val="00A97B62"/>
    <w:rsid w:val="00A97E91"/>
    <w:rsid w:val="00AA223E"/>
    <w:rsid w:val="00AA28CA"/>
    <w:rsid w:val="00AA2DC0"/>
    <w:rsid w:val="00AA505E"/>
    <w:rsid w:val="00AA5502"/>
    <w:rsid w:val="00AB01D7"/>
    <w:rsid w:val="00AB1DBC"/>
    <w:rsid w:val="00AB4C7B"/>
    <w:rsid w:val="00AC67A1"/>
    <w:rsid w:val="00AD2BDE"/>
    <w:rsid w:val="00AD5A43"/>
    <w:rsid w:val="00AD67F1"/>
    <w:rsid w:val="00AD75D4"/>
    <w:rsid w:val="00AE2FAF"/>
    <w:rsid w:val="00AE6F10"/>
    <w:rsid w:val="00AF0951"/>
    <w:rsid w:val="00AF3148"/>
    <w:rsid w:val="00AF41C4"/>
    <w:rsid w:val="00AF605B"/>
    <w:rsid w:val="00AF741A"/>
    <w:rsid w:val="00B00372"/>
    <w:rsid w:val="00B00924"/>
    <w:rsid w:val="00B00C38"/>
    <w:rsid w:val="00B01167"/>
    <w:rsid w:val="00B06D46"/>
    <w:rsid w:val="00B15230"/>
    <w:rsid w:val="00B22537"/>
    <w:rsid w:val="00B23178"/>
    <w:rsid w:val="00B232F9"/>
    <w:rsid w:val="00B263E5"/>
    <w:rsid w:val="00B30A29"/>
    <w:rsid w:val="00B32B7C"/>
    <w:rsid w:val="00B36BE6"/>
    <w:rsid w:val="00B406D1"/>
    <w:rsid w:val="00B407E9"/>
    <w:rsid w:val="00B42A57"/>
    <w:rsid w:val="00B43572"/>
    <w:rsid w:val="00B537E8"/>
    <w:rsid w:val="00B5704A"/>
    <w:rsid w:val="00B64FF1"/>
    <w:rsid w:val="00B6633A"/>
    <w:rsid w:val="00B72CE9"/>
    <w:rsid w:val="00B75528"/>
    <w:rsid w:val="00B8370C"/>
    <w:rsid w:val="00B83749"/>
    <w:rsid w:val="00B90629"/>
    <w:rsid w:val="00B94F9B"/>
    <w:rsid w:val="00B95617"/>
    <w:rsid w:val="00B96A4C"/>
    <w:rsid w:val="00B97248"/>
    <w:rsid w:val="00B97B95"/>
    <w:rsid w:val="00BA10DD"/>
    <w:rsid w:val="00BA29B5"/>
    <w:rsid w:val="00BA6895"/>
    <w:rsid w:val="00BB280A"/>
    <w:rsid w:val="00BB6DA6"/>
    <w:rsid w:val="00BC5EBE"/>
    <w:rsid w:val="00BD00F6"/>
    <w:rsid w:val="00BD4E31"/>
    <w:rsid w:val="00BD7AD1"/>
    <w:rsid w:val="00BE4AF6"/>
    <w:rsid w:val="00BE4FA2"/>
    <w:rsid w:val="00BE61CA"/>
    <w:rsid w:val="00BF0291"/>
    <w:rsid w:val="00BF432E"/>
    <w:rsid w:val="00BF4C26"/>
    <w:rsid w:val="00BF5E28"/>
    <w:rsid w:val="00C1327E"/>
    <w:rsid w:val="00C22DBD"/>
    <w:rsid w:val="00C25E07"/>
    <w:rsid w:val="00C26056"/>
    <w:rsid w:val="00C2787A"/>
    <w:rsid w:val="00C3026E"/>
    <w:rsid w:val="00C30670"/>
    <w:rsid w:val="00C309AF"/>
    <w:rsid w:val="00C33C23"/>
    <w:rsid w:val="00C34E61"/>
    <w:rsid w:val="00C4290A"/>
    <w:rsid w:val="00C451A8"/>
    <w:rsid w:val="00C4629E"/>
    <w:rsid w:val="00C46888"/>
    <w:rsid w:val="00C478F9"/>
    <w:rsid w:val="00C53647"/>
    <w:rsid w:val="00C56CCB"/>
    <w:rsid w:val="00C577E0"/>
    <w:rsid w:val="00C740BC"/>
    <w:rsid w:val="00C74A17"/>
    <w:rsid w:val="00C77B11"/>
    <w:rsid w:val="00C8112C"/>
    <w:rsid w:val="00C90903"/>
    <w:rsid w:val="00C951D0"/>
    <w:rsid w:val="00C95D5F"/>
    <w:rsid w:val="00CA081E"/>
    <w:rsid w:val="00CA141E"/>
    <w:rsid w:val="00CA4924"/>
    <w:rsid w:val="00CA791A"/>
    <w:rsid w:val="00CB4172"/>
    <w:rsid w:val="00CB4425"/>
    <w:rsid w:val="00CB7C94"/>
    <w:rsid w:val="00CC625E"/>
    <w:rsid w:val="00CD0A9D"/>
    <w:rsid w:val="00CD396F"/>
    <w:rsid w:val="00CD4A19"/>
    <w:rsid w:val="00CD5467"/>
    <w:rsid w:val="00CD5E41"/>
    <w:rsid w:val="00CD774A"/>
    <w:rsid w:val="00CE25B4"/>
    <w:rsid w:val="00CE2D4B"/>
    <w:rsid w:val="00CE4D54"/>
    <w:rsid w:val="00CE4F14"/>
    <w:rsid w:val="00CE5118"/>
    <w:rsid w:val="00CE73CA"/>
    <w:rsid w:val="00CF1245"/>
    <w:rsid w:val="00CF2EAC"/>
    <w:rsid w:val="00CF2EEE"/>
    <w:rsid w:val="00CF2FFA"/>
    <w:rsid w:val="00D00493"/>
    <w:rsid w:val="00D0214B"/>
    <w:rsid w:val="00D03B8B"/>
    <w:rsid w:val="00D04CE1"/>
    <w:rsid w:val="00D0577D"/>
    <w:rsid w:val="00D06F36"/>
    <w:rsid w:val="00D1080F"/>
    <w:rsid w:val="00D112D9"/>
    <w:rsid w:val="00D14249"/>
    <w:rsid w:val="00D16F7D"/>
    <w:rsid w:val="00D264C3"/>
    <w:rsid w:val="00D3055A"/>
    <w:rsid w:val="00D32AFA"/>
    <w:rsid w:val="00D35CA0"/>
    <w:rsid w:val="00D37638"/>
    <w:rsid w:val="00D457AD"/>
    <w:rsid w:val="00D47F31"/>
    <w:rsid w:val="00D512DC"/>
    <w:rsid w:val="00D63A27"/>
    <w:rsid w:val="00D647DB"/>
    <w:rsid w:val="00D64B3E"/>
    <w:rsid w:val="00D67102"/>
    <w:rsid w:val="00D77CD2"/>
    <w:rsid w:val="00D82E97"/>
    <w:rsid w:val="00D834FF"/>
    <w:rsid w:val="00D842D0"/>
    <w:rsid w:val="00D84929"/>
    <w:rsid w:val="00D866BE"/>
    <w:rsid w:val="00D86E3B"/>
    <w:rsid w:val="00D900DD"/>
    <w:rsid w:val="00D91760"/>
    <w:rsid w:val="00DA1654"/>
    <w:rsid w:val="00DA2509"/>
    <w:rsid w:val="00DA5054"/>
    <w:rsid w:val="00DB39E1"/>
    <w:rsid w:val="00DB5B9C"/>
    <w:rsid w:val="00DC1F82"/>
    <w:rsid w:val="00DC4031"/>
    <w:rsid w:val="00DC727E"/>
    <w:rsid w:val="00DD4410"/>
    <w:rsid w:val="00DD51CB"/>
    <w:rsid w:val="00DD634F"/>
    <w:rsid w:val="00DD7122"/>
    <w:rsid w:val="00DF2AC6"/>
    <w:rsid w:val="00DF2F28"/>
    <w:rsid w:val="00DF31AB"/>
    <w:rsid w:val="00DF4F4D"/>
    <w:rsid w:val="00DF7E07"/>
    <w:rsid w:val="00E00F59"/>
    <w:rsid w:val="00E00FC7"/>
    <w:rsid w:val="00E079B4"/>
    <w:rsid w:val="00E11F08"/>
    <w:rsid w:val="00E125B7"/>
    <w:rsid w:val="00E15252"/>
    <w:rsid w:val="00E16C1C"/>
    <w:rsid w:val="00E17CB7"/>
    <w:rsid w:val="00E203B4"/>
    <w:rsid w:val="00E20EA4"/>
    <w:rsid w:val="00E247CB"/>
    <w:rsid w:val="00E33D34"/>
    <w:rsid w:val="00E36677"/>
    <w:rsid w:val="00E37617"/>
    <w:rsid w:val="00E4180F"/>
    <w:rsid w:val="00E43A0C"/>
    <w:rsid w:val="00E45F3F"/>
    <w:rsid w:val="00E5232B"/>
    <w:rsid w:val="00E546A0"/>
    <w:rsid w:val="00E6191A"/>
    <w:rsid w:val="00E706CA"/>
    <w:rsid w:val="00E70AB8"/>
    <w:rsid w:val="00E70BDE"/>
    <w:rsid w:val="00E74F56"/>
    <w:rsid w:val="00E767A1"/>
    <w:rsid w:val="00E77169"/>
    <w:rsid w:val="00E81625"/>
    <w:rsid w:val="00E825FF"/>
    <w:rsid w:val="00E8462E"/>
    <w:rsid w:val="00E8741F"/>
    <w:rsid w:val="00E92B4E"/>
    <w:rsid w:val="00E93D20"/>
    <w:rsid w:val="00E963DC"/>
    <w:rsid w:val="00E96776"/>
    <w:rsid w:val="00E97A75"/>
    <w:rsid w:val="00EA1BEB"/>
    <w:rsid w:val="00EA3CA9"/>
    <w:rsid w:val="00EA51FA"/>
    <w:rsid w:val="00EA77A6"/>
    <w:rsid w:val="00EB4DD4"/>
    <w:rsid w:val="00EB54DE"/>
    <w:rsid w:val="00EB7808"/>
    <w:rsid w:val="00EC76FD"/>
    <w:rsid w:val="00EC7F5F"/>
    <w:rsid w:val="00ED026E"/>
    <w:rsid w:val="00ED29D8"/>
    <w:rsid w:val="00ED2DC4"/>
    <w:rsid w:val="00ED3431"/>
    <w:rsid w:val="00ED3FF4"/>
    <w:rsid w:val="00ED5066"/>
    <w:rsid w:val="00ED6162"/>
    <w:rsid w:val="00ED7611"/>
    <w:rsid w:val="00ED7F8B"/>
    <w:rsid w:val="00EE39CF"/>
    <w:rsid w:val="00EE3B51"/>
    <w:rsid w:val="00EE3BCE"/>
    <w:rsid w:val="00EF3F0B"/>
    <w:rsid w:val="00F0184F"/>
    <w:rsid w:val="00F043C6"/>
    <w:rsid w:val="00F115DD"/>
    <w:rsid w:val="00F1227B"/>
    <w:rsid w:val="00F12386"/>
    <w:rsid w:val="00F151FF"/>
    <w:rsid w:val="00F1754B"/>
    <w:rsid w:val="00F21765"/>
    <w:rsid w:val="00F21F87"/>
    <w:rsid w:val="00F27F74"/>
    <w:rsid w:val="00F31E83"/>
    <w:rsid w:val="00F32573"/>
    <w:rsid w:val="00F343FC"/>
    <w:rsid w:val="00F3542B"/>
    <w:rsid w:val="00F378A0"/>
    <w:rsid w:val="00F413D7"/>
    <w:rsid w:val="00F43B56"/>
    <w:rsid w:val="00F44D88"/>
    <w:rsid w:val="00F469D5"/>
    <w:rsid w:val="00F51D13"/>
    <w:rsid w:val="00F53DEE"/>
    <w:rsid w:val="00F55E3E"/>
    <w:rsid w:val="00F6545F"/>
    <w:rsid w:val="00F65A2E"/>
    <w:rsid w:val="00F66C3D"/>
    <w:rsid w:val="00F73CAA"/>
    <w:rsid w:val="00F750B8"/>
    <w:rsid w:val="00F8318D"/>
    <w:rsid w:val="00F86FCD"/>
    <w:rsid w:val="00F87652"/>
    <w:rsid w:val="00F91441"/>
    <w:rsid w:val="00F92D8A"/>
    <w:rsid w:val="00F94699"/>
    <w:rsid w:val="00F97161"/>
    <w:rsid w:val="00FA17CE"/>
    <w:rsid w:val="00FA1CE5"/>
    <w:rsid w:val="00FA2ABE"/>
    <w:rsid w:val="00FA72E5"/>
    <w:rsid w:val="00FB24AC"/>
    <w:rsid w:val="00FB6EB2"/>
    <w:rsid w:val="00FB7E31"/>
    <w:rsid w:val="00FC3D48"/>
    <w:rsid w:val="00FC5499"/>
    <w:rsid w:val="00FD3B63"/>
    <w:rsid w:val="00FE16F7"/>
    <w:rsid w:val="00FE27CF"/>
    <w:rsid w:val="00FE2EF1"/>
    <w:rsid w:val="00FE32E2"/>
    <w:rsid w:val="00FE3D7F"/>
    <w:rsid w:val="00FF08CF"/>
    <w:rsid w:val="00FF5A72"/>
    <w:rsid w:val="00FF64FA"/>
    <w:rsid w:val="02EA27ED"/>
    <w:rsid w:val="047E7F81"/>
    <w:rsid w:val="07F43C9A"/>
    <w:rsid w:val="0A9211A3"/>
    <w:rsid w:val="0BB5222C"/>
    <w:rsid w:val="0BC93924"/>
    <w:rsid w:val="0E0F505F"/>
    <w:rsid w:val="0E1B5639"/>
    <w:rsid w:val="107664E7"/>
    <w:rsid w:val="10E66A25"/>
    <w:rsid w:val="13E63363"/>
    <w:rsid w:val="16221379"/>
    <w:rsid w:val="19C368A1"/>
    <w:rsid w:val="1D500068"/>
    <w:rsid w:val="20F86764"/>
    <w:rsid w:val="25C0778B"/>
    <w:rsid w:val="297B15E1"/>
    <w:rsid w:val="327862AA"/>
    <w:rsid w:val="355C1796"/>
    <w:rsid w:val="37D7456F"/>
    <w:rsid w:val="44F075E8"/>
    <w:rsid w:val="461D2C9A"/>
    <w:rsid w:val="479A5553"/>
    <w:rsid w:val="48E2096E"/>
    <w:rsid w:val="496F748A"/>
    <w:rsid w:val="4A845BCD"/>
    <w:rsid w:val="4B120CD7"/>
    <w:rsid w:val="4E213E47"/>
    <w:rsid w:val="53E46A6D"/>
    <w:rsid w:val="578F58A4"/>
    <w:rsid w:val="5BC764E0"/>
    <w:rsid w:val="5BF73CC0"/>
    <w:rsid w:val="5D8C7DAA"/>
    <w:rsid w:val="5F7F2F4C"/>
    <w:rsid w:val="5FBA4A28"/>
    <w:rsid w:val="7606657F"/>
    <w:rsid w:val="77DF5FFB"/>
    <w:rsid w:val="7C566573"/>
    <w:rsid w:val="7DCD54DB"/>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0" w:semiHidden="0" w:name="toc 3" w:locked="1"/>
    <w:lsdException w:qFormat="1" w:unhideWhenUsed="0" w:uiPriority="0" w:semiHidden="0" w:name="toc 4" w:locked="1"/>
    <w:lsdException w:qFormat="1" w:unhideWhenUsed="0" w:uiPriority="0" w:semiHidden="0" w:name="toc 5" w:locked="1"/>
    <w:lsdException w:qFormat="1" w:unhideWhenUsed="0" w:uiPriority="0" w:semiHidden="0" w:name="toc 6" w:locked="1"/>
    <w:lsdException w:qFormat="1" w:unhideWhenUsed="0" w:uiPriority="0" w:semiHidden="0" w:name="toc 7" w:locked="1"/>
    <w:lsdException w:qFormat="1" w:unhideWhenUsed="0" w:uiPriority="0" w:semiHidden="0" w:name="toc 8" w:locked="1"/>
    <w:lsdException w:qFormat="1" w:unhideWhenUsed="0" w:uiPriority="0" w:semiHidden="0" w:name="toc 9" w:locked="1"/>
    <w:lsdException w:uiPriority="99" w:name="Normal Indent"/>
    <w:lsdException w:uiPriority="99" w:name="footnote text"/>
    <w:lsdException w:qFormat="1"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qFormat="1" w:unhideWhenUsed="0"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99" w:semiHidden="0" w:name="Strong"/>
    <w:lsdException w:qFormat="1" w:unhideWhenUsed="0" w:uiPriority="0" w:semiHidden="0" w:name="Emphasis" w:locked="1"/>
    <w:lsdException w:qFormat="1" w:unhideWhenUsed="0"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29"/>
    <w:qFormat/>
    <w:uiPriority w:val="99"/>
    <w:pPr>
      <w:keepNext/>
      <w:keepLines/>
      <w:spacing w:before="340" w:after="330" w:line="576" w:lineRule="auto"/>
      <w:jc w:val="center"/>
      <w:outlineLvl w:val="0"/>
    </w:pPr>
    <w:rPr>
      <w:rFonts w:eastAsia="黑体"/>
      <w:b/>
      <w:bCs/>
      <w:kern w:val="44"/>
      <w:sz w:val="44"/>
      <w:szCs w:val="44"/>
    </w:rPr>
  </w:style>
  <w:style w:type="paragraph" w:styleId="4">
    <w:name w:val="heading 2"/>
    <w:basedOn w:val="1"/>
    <w:next w:val="1"/>
    <w:link w:val="30"/>
    <w:qFormat/>
    <w:uiPriority w:val="99"/>
    <w:pPr>
      <w:keepNext/>
      <w:keepLines/>
      <w:spacing w:before="260" w:after="260" w:line="415" w:lineRule="auto"/>
      <w:outlineLvl w:val="1"/>
    </w:pPr>
    <w:rPr>
      <w:rFonts w:ascii="Arial" w:hAnsi="Arial" w:eastAsia="黑体"/>
      <w:b/>
      <w:bCs/>
      <w:sz w:val="32"/>
      <w:szCs w:val="32"/>
    </w:rPr>
  </w:style>
  <w:style w:type="paragraph" w:styleId="5">
    <w:name w:val="heading 3"/>
    <w:basedOn w:val="1"/>
    <w:next w:val="1"/>
    <w:link w:val="31"/>
    <w:qFormat/>
    <w:uiPriority w:val="99"/>
    <w:pPr>
      <w:keepNext/>
      <w:keepLines/>
      <w:spacing w:before="260" w:after="260" w:line="415" w:lineRule="auto"/>
      <w:outlineLvl w:val="2"/>
    </w:pPr>
    <w:rPr>
      <w:b/>
      <w:bCs/>
      <w:sz w:val="32"/>
      <w:szCs w:val="32"/>
    </w:rPr>
  </w:style>
  <w:style w:type="paragraph" w:styleId="6">
    <w:name w:val="heading 4"/>
    <w:basedOn w:val="1"/>
    <w:next w:val="1"/>
    <w:link w:val="32"/>
    <w:qFormat/>
    <w:uiPriority w:val="99"/>
    <w:pPr>
      <w:keepNext/>
      <w:keepLines/>
      <w:spacing w:before="280" w:after="290" w:line="376" w:lineRule="auto"/>
      <w:outlineLvl w:val="3"/>
    </w:pPr>
    <w:rPr>
      <w:rFonts w:ascii="Cambria" w:hAnsi="Cambria"/>
      <w:b/>
      <w:bCs/>
      <w:sz w:val="28"/>
      <w:szCs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2">
    <w:name w:val="toc 2"/>
    <w:basedOn w:val="1"/>
    <w:next w:val="1"/>
    <w:qFormat/>
    <w:uiPriority w:val="39"/>
    <w:pPr>
      <w:ind w:left="210"/>
      <w:jc w:val="left"/>
    </w:pPr>
    <w:rPr>
      <w:rFonts w:asciiTheme="minorHAnsi" w:hAnsiTheme="minorHAnsi" w:cstheme="minorHAnsi"/>
      <w:smallCaps/>
      <w:sz w:val="20"/>
      <w:szCs w:val="20"/>
    </w:rPr>
  </w:style>
  <w:style w:type="paragraph" w:styleId="7">
    <w:name w:val="toc 7"/>
    <w:basedOn w:val="1"/>
    <w:next w:val="1"/>
    <w:qFormat/>
    <w:locked/>
    <w:uiPriority w:val="0"/>
    <w:pPr>
      <w:ind w:left="1260"/>
      <w:jc w:val="left"/>
    </w:pPr>
    <w:rPr>
      <w:rFonts w:asciiTheme="minorHAnsi" w:hAnsiTheme="minorHAnsi" w:cstheme="minorHAnsi"/>
      <w:sz w:val="18"/>
      <w:szCs w:val="18"/>
    </w:rPr>
  </w:style>
  <w:style w:type="paragraph" w:styleId="8">
    <w:name w:val="Document Map"/>
    <w:basedOn w:val="1"/>
    <w:link w:val="38"/>
    <w:semiHidden/>
    <w:qFormat/>
    <w:uiPriority w:val="99"/>
    <w:rPr>
      <w:rFonts w:ascii="宋体"/>
      <w:sz w:val="18"/>
      <w:szCs w:val="18"/>
    </w:rPr>
  </w:style>
  <w:style w:type="paragraph" w:styleId="9">
    <w:name w:val="annotation text"/>
    <w:basedOn w:val="1"/>
    <w:link w:val="56"/>
    <w:semiHidden/>
    <w:unhideWhenUsed/>
    <w:qFormat/>
    <w:uiPriority w:val="99"/>
    <w:pPr>
      <w:jc w:val="left"/>
    </w:pPr>
  </w:style>
  <w:style w:type="paragraph" w:styleId="10">
    <w:name w:val="Body Text"/>
    <w:basedOn w:val="1"/>
    <w:link w:val="36"/>
    <w:semiHidden/>
    <w:qFormat/>
    <w:uiPriority w:val="99"/>
    <w:rPr>
      <w:sz w:val="28"/>
    </w:rPr>
  </w:style>
  <w:style w:type="paragraph" w:styleId="11">
    <w:name w:val="toc 5"/>
    <w:basedOn w:val="1"/>
    <w:next w:val="1"/>
    <w:qFormat/>
    <w:locked/>
    <w:uiPriority w:val="0"/>
    <w:pPr>
      <w:ind w:left="840"/>
      <w:jc w:val="left"/>
    </w:pPr>
    <w:rPr>
      <w:rFonts w:asciiTheme="minorHAnsi" w:hAnsiTheme="minorHAnsi" w:cstheme="minorHAnsi"/>
      <w:sz w:val="18"/>
      <w:szCs w:val="18"/>
    </w:rPr>
  </w:style>
  <w:style w:type="paragraph" w:styleId="12">
    <w:name w:val="toc 3"/>
    <w:basedOn w:val="1"/>
    <w:next w:val="1"/>
    <w:qFormat/>
    <w:locked/>
    <w:uiPriority w:val="0"/>
    <w:pPr>
      <w:ind w:left="420"/>
      <w:jc w:val="left"/>
    </w:pPr>
    <w:rPr>
      <w:rFonts w:asciiTheme="minorHAnsi" w:hAnsiTheme="minorHAnsi" w:cstheme="minorHAnsi"/>
      <w:i/>
      <w:iCs/>
      <w:sz w:val="20"/>
      <w:szCs w:val="20"/>
    </w:rPr>
  </w:style>
  <w:style w:type="paragraph" w:styleId="13">
    <w:name w:val="toc 8"/>
    <w:basedOn w:val="1"/>
    <w:next w:val="1"/>
    <w:qFormat/>
    <w:locked/>
    <w:uiPriority w:val="0"/>
    <w:pPr>
      <w:ind w:left="1470"/>
      <w:jc w:val="left"/>
    </w:pPr>
    <w:rPr>
      <w:rFonts w:asciiTheme="minorHAnsi" w:hAnsiTheme="minorHAnsi" w:cstheme="minorHAnsi"/>
      <w:sz w:val="18"/>
      <w:szCs w:val="18"/>
    </w:rPr>
  </w:style>
  <w:style w:type="paragraph" w:styleId="14">
    <w:name w:val="Balloon Text"/>
    <w:basedOn w:val="1"/>
    <w:link w:val="40"/>
    <w:semiHidden/>
    <w:qFormat/>
    <w:uiPriority w:val="99"/>
    <w:rPr>
      <w:sz w:val="18"/>
      <w:szCs w:val="18"/>
    </w:rPr>
  </w:style>
  <w:style w:type="paragraph" w:styleId="15">
    <w:name w:val="footer"/>
    <w:basedOn w:val="1"/>
    <w:link w:val="35"/>
    <w:qFormat/>
    <w:uiPriority w:val="99"/>
    <w:pPr>
      <w:tabs>
        <w:tab w:val="center" w:pos="4153"/>
        <w:tab w:val="right" w:pos="8306"/>
      </w:tabs>
      <w:snapToGrid w:val="0"/>
      <w:jc w:val="left"/>
    </w:pPr>
    <w:rPr>
      <w:sz w:val="18"/>
      <w:szCs w:val="18"/>
    </w:rPr>
  </w:style>
  <w:style w:type="paragraph" w:styleId="16">
    <w:name w:val="header"/>
    <w:basedOn w:val="1"/>
    <w:link w:val="33"/>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qFormat/>
    <w:uiPriority w:val="39"/>
    <w:pPr>
      <w:tabs>
        <w:tab w:val="right" w:leader="dot" w:pos="8296"/>
      </w:tabs>
      <w:spacing w:before="120" w:after="120"/>
      <w:jc w:val="left"/>
    </w:pPr>
    <w:rPr>
      <w:rFonts w:asciiTheme="minorHAnsi" w:hAnsiTheme="minorHAnsi" w:cstheme="minorHAnsi"/>
      <w:b/>
      <w:bCs/>
      <w:caps/>
      <w:sz w:val="20"/>
      <w:szCs w:val="20"/>
    </w:rPr>
  </w:style>
  <w:style w:type="paragraph" w:styleId="18">
    <w:name w:val="toc 4"/>
    <w:basedOn w:val="1"/>
    <w:next w:val="1"/>
    <w:qFormat/>
    <w:locked/>
    <w:uiPriority w:val="0"/>
    <w:pPr>
      <w:ind w:left="630"/>
      <w:jc w:val="left"/>
    </w:pPr>
    <w:rPr>
      <w:rFonts w:asciiTheme="minorHAnsi" w:hAnsiTheme="minorHAnsi" w:cstheme="minorHAnsi"/>
      <w:sz w:val="18"/>
      <w:szCs w:val="18"/>
    </w:rPr>
  </w:style>
  <w:style w:type="paragraph" w:styleId="19">
    <w:name w:val="toc 6"/>
    <w:basedOn w:val="1"/>
    <w:next w:val="1"/>
    <w:qFormat/>
    <w:locked/>
    <w:uiPriority w:val="0"/>
    <w:pPr>
      <w:ind w:left="1050"/>
      <w:jc w:val="left"/>
    </w:pPr>
    <w:rPr>
      <w:rFonts w:asciiTheme="minorHAnsi" w:hAnsiTheme="minorHAnsi" w:cstheme="minorHAnsi"/>
      <w:sz w:val="18"/>
      <w:szCs w:val="18"/>
    </w:rPr>
  </w:style>
  <w:style w:type="paragraph" w:styleId="20">
    <w:name w:val="toc 9"/>
    <w:basedOn w:val="1"/>
    <w:next w:val="1"/>
    <w:qFormat/>
    <w:locked/>
    <w:uiPriority w:val="0"/>
    <w:pPr>
      <w:ind w:left="1680"/>
      <w:jc w:val="left"/>
    </w:pPr>
    <w:rPr>
      <w:rFonts w:asciiTheme="minorHAnsi" w:hAnsiTheme="minorHAnsi" w:cstheme="minorHAnsi"/>
      <w:sz w:val="18"/>
      <w:szCs w:val="18"/>
    </w:rPr>
  </w:style>
  <w:style w:type="paragraph" w:styleId="21">
    <w:name w:val="Normal (Web)"/>
    <w:basedOn w:val="1"/>
    <w:qFormat/>
    <w:uiPriority w:val="99"/>
    <w:pPr>
      <w:widowControl/>
      <w:spacing w:before="100" w:beforeAutospacing="1" w:after="100" w:afterAutospacing="1"/>
      <w:jc w:val="left"/>
    </w:pPr>
    <w:rPr>
      <w:rFonts w:ascii="宋体" w:hAnsi="宋体" w:cs="宋体"/>
      <w:kern w:val="0"/>
      <w:sz w:val="24"/>
    </w:rPr>
  </w:style>
  <w:style w:type="paragraph" w:styleId="22">
    <w:name w:val="annotation subject"/>
    <w:basedOn w:val="9"/>
    <w:next w:val="9"/>
    <w:link w:val="57"/>
    <w:semiHidden/>
    <w:unhideWhenUsed/>
    <w:qFormat/>
    <w:uiPriority w:val="99"/>
    <w:rPr>
      <w:b/>
      <w:bCs/>
    </w:rPr>
  </w:style>
  <w:style w:type="table" w:styleId="24">
    <w:name w:val="Table Grid"/>
    <w:basedOn w:val="23"/>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qFormat/>
    <w:uiPriority w:val="99"/>
    <w:rPr>
      <w:rFonts w:ascii="Times New Roman" w:hAnsi="Times New Roman" w:cs="Times New Roman"/>
      <w:b/>
    </w:rPr>
  </w:style>
  <w:style w:type="character" w:styleId="27">
    <w:name w:val="Hyperlink"/>
    <w:qFormat/>
    <w:uiPriority w:val="99"/>
    <w:rPr>
      <w:rFonts w:ascii="Times New Roman" w:hAnsi="Times New Roman" w:cs="Times New Roman"/>
      <w:color w:val="0000FF"/>
      <w:u w:val="single"/>
    </w:rPr>
  </w:style>
  <w:style w:type="character" w:styleId="28">
    <w:name w:val="annotation reference"/>
    <w:basedOn w:val="25"/>
    <w:semiHidden/>
    <w:unhideWhenUsed/>
    <w:qFormat/>
    <w:uiPriority w:val="99"/>
    <w:rPr>
      <w:sz w:val="21"/>
      <w:szCs w:val="21"/>
    </w:rPr>
  </w:style>
  <w:style w:type="character" w:customStyle="1" w:styleId="29">
    <w:name w:val="标题 1 字符"/>
    <w:link w:val="3"/>
    <w:qFormat/>
    <w:locked/>
    <w:uiPriority w:val="99"/>
    <w:rPr>
      <w:rFonts w:ascii="Times New Roman" w:hAnsi="Times New Roman" w:eastAsia="黑体" w:cs="Times New Roman"/>
      <w:b/>
      <w:bCs/>
      <w:kern w:val="44"/>
      <w:sz w:val="44"/>
      <w:szCs w:val="44"/>
    </w:rPr>
  </w:style>
  <w:style w:type="character" w:customStyle="1" w:styleId="30">
    <w:name w:val="标题 2 字符"/>
    <w:link w:val="4"/>
    <w:semiHidden/>
    <w:qFormat/>
    <w:locked/>
    <w:uiPriority w:val="99"/>
    <w:rPr>
      <w:rFonts w:ascii="Arial" w:hAnsi="Arial" w:eastAsia="黑体" w:cs="Times New Roman"/>
      <w:b/>
      <w:bCs/>
      <w:sz w:val="32"/>
      <w:szCs w:val="32"/>
    </w:rPr>
  </w:style>
  <w:style w:type="character" w:customStyle="1" w:styleId="31">
    <w:name w:val="标题 3 字符"/>
    <w:link w:val="5"/>
    <w:qFormat/>
    <w:locked/>
    <w:uiPriority w:val="99"/>
    <w:rPr>
      <w:rFonts w:ascii="Times New Roman" w:hAnsi="Times New Roman" w:eastAsia="宋体" w:cs="Times New Roman"/>
      <w:b/>
      <w:bCs/>
      <w:sz w:val="32"/>
      <w:szCs w:val="32"/>
    </w:rPr>
  </w:style>
  <w:style w:type="character" w:customStyle="1" w:styleId="32">
    <w:name w:val="标题 4 字符"/>
    <w:link w:val="6"/>
    <w:qFormat/>
    <w:locked/>
    <w:uiPriority w:val="99"/>
    <w:rPr>
      <w:rFonts w:ascii="Cambria" w:hAnsi="Cambria" w:eastAsia="宋体" w:cs="Times New Roman"/>
      <w:b/>
      <w:bCs/>
      <w:sz w:val="28"/>
      <w:szCs w:val="28"/>
    </w:rPr>
  </w:style>
  <w:style w:type="character" w:customStyle="1" w:styleId="33">
    <w:name w:val="页眉 字符"/>
    <w:link w:val="16"/>
    <w:qFormat/>
    <w:locked/>
    <w:uiPriority w:val="99"/>
    <w:rPr>
      <w:rFonts w:ascii="Times New Roman" w:hAnsi="Times New Roman" w:eastAsia="宋体" w:cs="Times New Roman"/>
      <w:sz w:val="18"/>
      <w:szCs w:val="18"/>
    </w:rPr>
  </w:style>
  <w:style w:type="character" w:customStyle="1" w:styleId="34">
    <w:name w:val="Footer Char"/>
    <w:qFormat/>
    <w:locked/>
    <w:uiPriority w:val="99"/>
    <w:rPr>
      <w:rFonts w:ascii="Times New Roman" w:hAnsi="Times New Roman" w:eastAsia="宋体" w:cs="Times New Roman"/>
      <w:sz w:val="18"/>
      <w:szCs w:val="18"/>
    </w:rPr>
  </w:style>
  <w:style w:type="character" w:customStyle="1" w:styleId="35">
    <w:name w:val="页脚 字符"/>
    <w:link w:val="15"/>
    <w:semiHidden/>
    <w:qFormat/>
    <w:locked/>
    <w:uiPriority w:val="99"/>
    <w:rPr>
      <w:rFonts w:ascii="Times New Roman" w:hAnsi="Times New Roman" w:cs="Times New Roman"/>
      <w:sz w:val="18"/>
      <w:szCs w:val="18"/>
    </w:rPr>
  </w:style>
  <w:style w:type="character" w:customStyle="1" w:styleId="36">
    <w:name w:val="正文文本 字符"/>
    <w:link w:val="10"/>
    <w:semiHidden/>
    <w:qFormat/>
    <w:locked/>
    <w:uiPriority w:val="99"/>
    <w:rPr>
      <w:rFonts w:ascii="Times New Roman" w:hAnsi="Times New Roman" w:eastAsia="宋体" w:cs="Times New Roman"/>
      <w:sz w:val="24"/>
      <w:szCs w:val="24"/>
    </w:rPr>
  </w:style>
  <w:style w:type="character" w:customStyle="1" w:styleId="37">
    <w:name w:val="Document Map Char"/>
    <w:semiHidden/>
    <w:qFormat/>
    <w:locked/>
    <w:uiPriority w:val="99"/>
    <w:rPr>
      <w:rFonts w:ascii="宋体" w:hAnsi="Times New Roman" w:eastAsia="宋体" w:cs="Times New Roman"/>
      <w:sz w:val="18"/>
      <w:szCs w:val="18"/>
    </w:rPr>
  </w:style>
  <w:style w:type="character" w:customStyle="1" w:styleId="38">
    <w:name w:val="文档结构图 字符"/>
    <w:link w:val="8"/>
    <w:semiHidden/>
    <w:qFormat/>
    <w:locked/>
    <w:uiPriority w:val="99"/>
    <w:rPr>
      <w:rFonts w:ascii="Times New Roman" w:hAnsi="Times New Roman" w:cs="Times New Roman"/>
      <w:sz w:val="2"/>
    </w:rPr>
  </w:style>
  <w:style w:type="character" w:customStyle="1" w:styleId="39">
    <w:name w:val="Balloon Text Char"/>
    <w:semiHidden/>
    <w:qFormat/>
    <w:locked/>
    <w:uiPriority w:val="99"/>
    <w:rPr>
      <w:rFonts w:ascii="Times New Roman" w:hAnsi="Times New Roman" w:eastAsia="宋体" w:cs="Times New Roman"/>
      <w:sz w:val="18"/>
      <w:szCs w:val="18"/>
    </w:rPr>
  </w:style>
  <w:style w:type="character" w:customStyle="1" w:styleId="40">
    <w:name w:val="批注框文本 字符"/>
    <w:link w:val="14"/>
    <w:semiHidden/>
    <w:qFormat/>
    <w:locked/>
    <w:uiPriority w:val="99"/>
    <w:rPr>
      <w:rFonts w:ascii="Times New Roman" w:hAnsi="Times New Roman" w:cs="Times New Roman"/>
      <w:sz w:val="2"/>
    </w:rPr>
  </w:style>
  <w:style w:type="paragraph" w:customStyle="1" w:styleId="41">
    <w:name w:val="Char"/>
    <w:basedOn w:val="1"/>
    <w:qFormat/>
    <w:uiPriority w:val="99"/>
    <w:pPr>
      <w:tabs>
        <w:tab w:val="left" w:pos="360"/>
      </w:tabs>
    </w:pPr>
    <w:rPr>
      <w:sz w:val="24"/>
    </w:rPr>
  </w:style>
  <w:style w:type="paragraph" w:customStyle="1" w:styleId="42">
    <w:name w:val="p15"/>
    <w:basedOn w:val="1"/>
    <w:qFormat/>
    <w:uiPriority w:val="99"/>
    <w:pPr>
      <w:widowControl/>
      <w:spacing w:before="100" w:beforeAutospacing="1" w:after="100" w:afterAutospacing="1"/>
      <w:jc w:val="left"/>
    </w:pPr>
    <w:rPr>
      <w:rFonts w:ascii="宋体" w:hAnsi="宋体" w:cs="宋体"/>
      <w:kern w:val="0"/>
      <w:sz w:val="24"/>
    </w:rPr>
  </w:style>
  <w:style w:type="character" w:customStyle="1" w:styleId="43">
    <w:name w:val="apple-converted-space"/>
    <w:qFormat/>
    <w:uiPriority w:val="99"/>
    <w:rPr>
      <w:rFonts w:cs="Times New Roman"/>
    </w:rPr>
  </w:style>
  <w:style w:type="paragraph" w:styleId="44">
    <w:name w:val="List Paragraph"/>
    <w:basedOn w:val="1"/>
    <w:link w:val="53"/>
    <w:qFormat/>
    <w:uiPriority w:val="1"/>
    <w:pPr>
      <w:ind w:firstLine="420" w:firstLineChars="200"/>
    </w:pPr>
  </w:style>
  <w:style w:type="paragraph" w:customStyle="1" w:styleId="45">
    <w:name w:val="1级标题"/>
    <w:basedOn w:val="3"/>
    <w:link w:val="47"/>
    <w:qFormat/>
    <w:uiPriority w:val="0"/>
    <w:pPr>
      <w:spacing w:before="0" w:after="0" w:line="360" w:lineRule="auto"/>
      <w:jc w:val="both"/>
    </w:pPr>
    <w:rPr>
      <w:sz w:val="32"/>
    </w:rPr>
  </w:style>
  <w:style w:type="paragraph" w:customStyle="1" w:styleId="46">
    <w:name w:val="2级标题"/>
    <w:basedOn w:val="4"/>
    <w:link w:val="49"/>
    <w:qFormat/>
    <w:uiPriority w:val="0"/>
    <w:pPr>
      <w:spacing w:before="0" w:after="0" w:line="360" w:lineRule="auto"/>
    </w:pPr>
    <w:rPr>
      <w:rFonts w:ascii="Times New Roman" w:hAnsi="Times New Roman"/>
    </w:rPr>
  </w:style>
  <w:style w:type="character" w:customStyle="1" w:styleId="47">
    <w:name w:val="1级标题 Char"/>
    <w:basedOn w:val="29"/>
    <w:link w:val="45"/>
    <w:qFormat/>
    <w:uiPriority w:val="0"/>
    <w:rPr>
      <w:rFonts w:ascii="Times New Roman" w:hAnsi="Times New Roman" w:eastAsia="黑体" w:cs="Times New Roman"/>
      <w:kern w:val="44"/>
      <w:sz w:val="32"/>
      <w:szCs w:val="44"/>
    </w:rPr>
  </w:style>
  <w:style w:type="paragraph" w:customStyle="1" w:styleId="48">
    <w:name w:val="3级标题"/>
    <w:basedOn w:val="46"/>
    <w:link w:val="51"/>
    <w:qFormat/>
    <w:uiPriority w:val="0"/>
    <w:pPr>
      <w:spacing w:line="240" w:lineRule="auto"/>
      <w:outlineLvl w:val="2"/>
    </w:pPr>
    <w:rPr>
      <w:b w:val="0"/>
    </w:rPr>
  </w:style>
  <w:style w:type="character" w:customStyle="1" w:styleId="49">
    <w:name w:val="2级标题 Char"/>
    <w:basedOn w:val="30"/>
    <w:link w:val="46"/>
    <w:qFormat/>
    <w:uiPriority w:val="0"/>
    <w:rPr>
      <w:rFonts w:ascii="Times New Roman" w:hAnsi="Times New Roman" w:eastAsia="黑体" w:cs="Times New Roman"/>
      <w:kern w:val="2"/>
      <w:sz w:val="32"/>
      <w:szCs w:val="32"/>
    </w:rPr>
  </w:style>
  <w:style w:type="paragraph" w:customStyle="1" w:styleId="50">
    <w:name w:val="4级标题"/>
    <w:basedOn w:val="1"/>
    <w:link w:val="52"/>
    <w:qFormat/>
    <w:uiPriority w:val="0"/>
    <w:pPr>
      <w:outlineLvl w:val="3"/>
    </w:pPr>
    <w:rPr>
      <w:rFonts w:eastAsia="仿宋_GB2312"/>
      <w:sz w:val="32"/>
      <w:szCs w:val="32"/>
    </w:rPr>
  </w:style>
  <w:style w:type="character" w:customStyle="1" w:styleId="51">
    <w:name w:val="3级标题 Char"/>
    <w:basedOn w:val="49"/>
    <w:link w:val="48"/>
    <w:qFormat/>
    <w:uiPriority w:val="0"/>
    <w:rPr>
      <w:rFonts w:ascii="Times New Roman" w:hAnsi="Times New Roman" w:eastAsia="黑体" w:cs="Times New Roman"/>
      <w:b w:val="0"/>
      <w:kern w:val="2"/>
      <w:sz w:val="32"/>
      <w:szCs w:val="32"/>
    </w:rPr>
  </w:style>
  <w:style w:type="character" w:customStyle="1" w:styleId="52">
    <w:name w:val="4级标题 Char"/>
    <w:basedOn w:val="25"/>
    <w:link w:val="50"/>
    <w:qFormat/>
    <w:uiPriority w:val="0"/>
    <w:rPr>
      <w:rFonts w:ascii="Times New Roman" w:hAnsi="Times New Roman" w:eastAsia="仿宋_GB2312"/>
      <w:kern w:val="2"/>
      <w:sz w:val="32"/>
      <w:szCs w:val="32"/>
    </w:rPr>
  </w:style>
  <w:style w:type="character" w:customStyle="1" w:styleId="53">
    <w:name w:val="列表段落 字符"/>
    <w:link w:val="44"/>
    <w:qFormat/>
    <w:locked/>
    <w:uiPriority w:val="1"/>
    <w:rPr>
      <w:rFonts w:ascii="Times New Roman" w:hAnsi="Times New Roman"/>
      <w:kern w:val="2"/>
      <w:sz w:val="21"/>
      <w:szCs w:val="24"/>
    </w:rPr>
  </w:style>
  <w:style w:type="character" w:customStyle="1" w:styleId="54">
    <w:name w:val="fontstyle01"/>
    <w:basedOn w:val="25"/>
    <w:qFormat/>
    <w:uiPriority w:val="0"/>
    <w:rPr>
      <w:rFonts w:hint="eastAsia" w:ascii="仿宋_GB2312" w:eastAsia="仿宋_GB2312"/>
      <w:color w:val="000000"/>
      <w:sz w:val="32"/>
      <w:szCs w:val="32"/>
    </w:rPr>
  </w:style>
  <w:style w:type="character" w:customStyle="1" w:styleId="55">
    <w:name w:val="fontstyle21"/>
    <w:basedOn w:val="25"/>
    <w:qFormat/>
    <w:uiPriority w:val="0"/>
    <w:rPr>
      <w:rFonts w:hint="default" w:ascii="TimesNewRomanPSMT" w:hAnsi="TimesNewRomanPSMT"/>
      <w:color w:val="000000"/>
      <w:sz w:val="32"/>
      <w:szCs w:val="32"/>
    </w:rPr>
  </w:style>
  <w:style w:type="character" w:customStyle="1" w:styleId="56">
    <w:name w:val="批注文字 字符"/>
    <w:basedOn w:val="25"/>
    <w:link w:val="9"/>
    <w:semiHidden/>
    <w:qFormat/>
    <w:uiPriority w:val="99"/>
    <w:rPr>
      <w:rFonts w:ascii="Times New Roman" w:hAnsi="Times New Roman"/>
      <w:kern w:val="2"/>
      <w:sz w:val="21"/>
      <w:szCs w:val="24"/>
    </w:rPr>
  </w:style>
  <w:style w:type="character" w:customStyle="1" w:styleId="57">
    <w:name w:val="批注主题 字符"/>
    <w:basedOn w:val="56"/>
    <w:link w:val="22"/>
    <w:semiHidden/>
    <w:qFormat/>
    <w:uiPriority w:val="99"/>
    <w:rPr>
      <w:rFonts w:ascii="Times New Roman" w:hAnsi="Times New Roman"/>
      <w:b/>
      <w:bCs/>
      <w:kern w:val="2"/>
      <w:sz w:val="21"/>
      <w:szCs w:val="24"/>
    </w:rPr>
  </w:style>
  <w:style w:type="paragraph" w:customStyle="1" w:styleId="58">
    <w:name w:val="修订1"/>
    <w:hidden/>
    <w:semiHidden/>
    <w:qFormat/>
    <w:uiPriority w:val="99"/>
    <w:rPr>
      <w:rFonts w:ascii="Times New Roman" w:hAnsi="Times New Roman" w:eastAsia="宋体" w:cs="Times New Roman"/>
      <w:kern w:val="2"/>
      <w:sz w:val="21"/>
      <w:szCs w:val="24"/>
      <w:lang w:val="en-US" w:eastAsia="zh-CN" w:bidi="ar-SA"/>
    </w:rPr>
  </w:style>
  <w:style w:type="paragraph" w:customStyle="1" w:styleId="59">
    <w:name w:val="修订2"/>
    <w:hidden/>
    <w:semiHidden/>
    <w:qFormat/>
    <w:uiPriority w:val="99"/>
    <w:rPr>
      <w:rFonts w:ascii="Times New Roman" w:hAnsi="Times New Roman" w:eastAsia="宋体" w:cs="Times New Roman"/>
      <w:kern w:val="2"/>
      <w:sz w:val="21"/>
      <w:szCs w:val="24"/>
      <w:lang w:val="en-US" w:eastAsia="zh-CN" w:bidi="ar-SA"/>
    </w:rPr>
  </w:style>
  <w:style w:type="paragraph" w:customStyle="1" w:styleId="60">
    <w:name w:val="Revision"/>
    <w:hidden/>
    <w:semiHidden/>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emf"/><Relationship Id="rId7" Type="http://schemas.openxmlformats.org/officeDocument/2006/relationships/image" Target="media/image1.emf"/><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customXml" Target="../customXml/item2.xml"/><Relationship Id="rId11" Type="http://schemas.openxmlformats.org/officeDocument/2006/relationships/numbering" Target="numbering.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8CB4DF4-7641-4BB5-B037-DDE66E31DBF2}">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42</Pages>
  <Words>16547</Words>
  <Characters>17089</Characters>
  <Lines>142</Lines>
  <Paragraphs>40</Paragraphs>
  <TotalTime>6</TotalTime>
  <ScaleCrop>false</ScaleCrop>
  <LinksUpToDate>false</LinksUpToDate>
  <CharactersWithSpaces>17614</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2022-01-06T06:07:00Z</dcterms:created>
  <dc:creator>USER</dc:creator>
  <cp:lastModifiedBy>Administrator</cp:lastModifiedBy>
  <cp:lastPrinted>2022-01-06T06:26:00Z</cp:lastPrinted>
  <dcterms:modified xsi:type="dcterms:W3CDTF">2022-02-23T08:33:41Z</dcterms:modified>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5472A7A3E7F0485F95BBD012A6D8F9B7</vt:lpwstr>
  </property>
  <property fmtid="{D5CDD505-2E9C-101B-9397-08002B2CF9AE}" pid="4" name="KSOSaveFontToCloudKey">
    <vt:lpwstr>431168589_embed</vt:lpwstr>
  </property>
</Properties>
</file>