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880"/>
        <w:jc w:val="center"/>
        <w:textAlignment w:val="auto"/>
        <w:outlineLvl w:val="9"/>
        <w:rPr>
          <w:rFonts w:hint="default" w:ascii="Times New Roman" w:hAnsi="Times New Roman" w:eastAsia="方正公文小标宋" w:cs="Times New Roman"/>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方正公文小标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方正公文小标宋" w:cs="Times New Roman"/>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方正公文小标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方正公文小标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方正公文小标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方正公文小标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val="0"/>
        <w:bidi w:val="0"/>
        <w:adjustRightInd/>
        <w:snapToGrid w:val="0"/>
        <w:spacing w:line="570" w:lineRule="exact"/>
        <w:ind w:firstLine="0" w:firstLineChars="0"/>
        <w:jc w:val="center"/>
        <w:textAlignment w:val="auto"/>
        <w:outlineLvl w:val="9"/>
        <w:rPr>
          <w:rFonts w:hint="default" w:ascii="Times New Roman" w:hAnsi="Times New Roman" w:eastAsia="方正仿宋_GBK" w:cs="Times New Roman"/>
          <w:bCs/>
          <w:color w:val="000000"/>
          <w:sz w:val="32"/>
          <w:szCs w:val="32"/>
        </w:rPr>
      </w:pPr>
      <w:bookmarkStart w:id="1" w:name="_GoBack"/>
      <w:r>
        <w:rPr>
          <w:rFonts w:hint="default" w:ascii="Times New Roman" w:hAnsi="Times New Roman" w:cs="Times New Roman"/>
          <w:color w:val="000000"/>
          <w:kern w:val="0"/>
          <w:sz w:val="32"/>
          <w:szCs w:val="32"/>
          <w:lang w:val="en-US" w:eastAsia="zh-CN" w:bidi="ar"/>
        </w:rPr>
        <w:t>常天政办</w:t>
      </w: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w:t>
      </w:r>
      <w:r>
        <w:rPr>
          <w:rFonts w:hint="eastAsia"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号</w:t>
      </w:r>
      <w:bookmarkEnd w:id="1"/>
    </w:p>
    <w:p>
      <w:pPr>
        <w:keepNext w:val="0"/>
        <w:keepLines w:val="0"/>
        <w:pageBreakBefore w:val="0"/>
        <w:widowControl w:val="0"/>
        <w:kinsoku/>
        <w:wordWrap/>
        <w:overflowPunct/>
        <w:topLinePunct w:val="0"/>
        <w:autoSpaceDE/>
        <w:bidi w:val="0"/>
        <w:adjustRightInd/>
        <w:ind w:firstLine="0" w:firstLineChars="0"/>
        <w:textAlignment w:val="auto"/>
        <w:outlineLvl w:val="9"/>
        <w:rPr>
          <w:rFonts w:hint="default" w:ascii="Times New Roman" w:hAnsi="Times New Roman" w:eastAsia="方正公文小标宋" w:cs="Times New Roman"/>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bidi w:val="0"/>
        <w:adjustRightInd/>
        <w:textAlignment w:val="auto"/>
        <w:outlineLvl w:val="9"/>
        <w:rPr>
          <w:rFonts w:hint="default"/>
        </w:rPr>
      </w:pPr>
    </w:p>
    <w:p>
      <w:pPr>
        <w:keepNext w:val="0"/>
        <w:keepLines w:val="0"/>
        <w:widowControl/>
        <w:suppressLineNumbers w:val="0"/>
        <w:spacing w:line="660" w:lineRule="exact"/>
        <w:ind w:firstLine="0" w:firstLineChars="0"/>
        <w:jc w:val="center"/>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区</w:t>
      </w:r>
      <w:r>
        <w:rPr>
          <w:rFonts w:hint="default" w:ascii="Times New Roman" w:hAnsi="Times New Roman" w:eastAsia="方正小标宋_GBK" w:cs="Times New Roman"/>
          <w:color w:val="000000"/>
          <w:sz w:val="44"/>
          <w:szCs w:val="44"/>
          <w:lang w:eastAsia="zh-CN"/>
        </w:rPr>
        <w:t>政府办公室关于印发</w:t>
      </w:r>
    </w:p>
    <w:p>
      <w:pPr>
        <w:keepNext w:val="0"/>
        <w:keepLines w:val="0"/>
        <w:widowControl/>
        <w:suppressLineNumbers w:val="0"/>
        <w:spacing w:line="660" w:lineRule="exact"/>
        <w:ind w:firstLine="0" w:firstLineChars="0"/>
        <w:jc w:val="center"/>
        <w:rPr>
          <w:rFonts w:hint="default" w:ascii="Times New Roman" w:hAnsi="Times New Roman" w:cs="Times New Roman"/>
        </w:rPr>
      </w:pPr>
      <w:r>
        <w:rPr>
          <w:rFonts w:hint="default" w:ascii="Times New Roman" w:hAnsi="Times New Roman" w:eastAsia="方正小标宋_GBK" w:cs="Times New Roman"/>
          <w:color w:val="000000"/>
          <w:sz w:val="44"/>
          <w:szCs w:val="44"/>
          <w:lang w:eastAsia="zh-CN"/>
        </w:rPr>
        <w:t>《天宁区</w:t>
      </w:r>
      <w:r>
        <w:rPr>
          <w:rFonts w:hint="eastAsia"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eastAsia="zh-CN"/>
        </w:rPr>
        <w:t>十四五</w:t>
      </w:r>
      <w:r>
        <w:rPr>
          <w:rFonts w:hint="eastAsia"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eastAsia="zh-CN"/>
        </w:rPr>
        <w:t>教育发展规划》的通知</w:t>
      </w:r>
    </w:p>
    <w:p>
      <w:pPr>
        <w:ind w:firstLine="880"/>
        <w:jc w:val="center"/>
        <w:rPr>
          <w:rFonts w:hint="default" w:ascii="Times New Roman" w:hAnsi="Times New Roman" w:eastAsia="方正公文小标宋" w:cs="Times New Roman"/>
          <w:color w:val="000000" w:themeColor="text1"/>
          <w:sz w:val="44"/>
          <w:szCs w:val="44"/>
          <w14:textFill>
            <w14:solidFill>
              <w14:schemeClr w14:val="tx1"/>
            </w14:solidFill>
          </w14:textFill>
        </w:rPr>
      </w:pPr>
    </w:p>
    <w:p>
      <w:pPr>
        <w:pStyle w:val="2"/>
        <w:ind w:left="0" w:leftChars="0" w:firstLine="0" w:firstLineChars="0"/>
        <w:rPr>
          <w:rFonts w:hint="eastAsia" w:ascii="方正仿宋_GBK" w:hAnsi="方正仿宋_GBK" w:eastAsia="方正仿宋_GBK" w:cs="方正仿宋_GBK"/>
          <w:spacing w:val="-11"/>
          <w:kern w:val="2"/>
          <w:sz w:val="32"/>
          <w:szCs w:val="32"/>
        </w:rPr>
      </w:pPr>
      <w:r>
        <w:rPr>
          <w:rFonts w:hint="eastAsia" w:ascii="方正仿宋_GBK" w:hAnsi="方正仿宋_GBK" w:eastAsia="方正仿宋_GBK" w:cs="方正仿宋_GBK"/>
          <w:spacing w:val="-11"/>
          <w:kern w:val="2"/>
          <w:sz w:val="32"/>
          <w:szCs w:val="32"/>
        </w:rPr>
        <w:t>开发区管委会、镇政府、各街道办事处，区各办局，区各直属单位：</w:t>
      </w:r>
    </w:p>
    <w:p>
      <w:pPr>
        <w:pStyle w:val="2"/>
        <w:ind w:left="0" w:leftChars="0"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《天宁区</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十四五</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教育发展规划》已经常州市天宁区人民政府第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71次常务会议审议通过，现印发给你们，请认真贯彻落实。</w:t>
      </w:r>
    </w:p>
    <w:p>
      <w:pPr>
        <w:pStyle w:val="2"/>
        <w:ind w:left="0" w:leftChars="0" w:firstLine="0" w:firstLineChars="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
        <w:ind w:left="0" w:leftChars="0" w:firstLine="4160" w:firstLineChars="13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常州市天宁区人民政府办公室</w:t>
      </w:r>
    </w:p>
    <w:p>
      <w:pPr>
        <w:pStyle w:val="2"/>
        <w:ind w:firstLine="4480" w:firstLineChars="14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2022年1月</w:t>
      </w:r>
      <w:r>
        <w:rPr>
          <w:rFonts w:hint="eastAsia" w:cs="Times New Roman"/>
          <w:color w:val="000000" w:themeColor="text1"/>
          <w:sz w:val="32"/>
          <w:szCs w:val="32"/>
          <w:lang w:val="en-US" w:eastAsia="zh-CN"/>
          <w14:textFill>
            <w14:solidFill>
              <w14:schemeClr w14:val="tx1"/>
            </w14:solidFill>
          </w14:textFill>
        </w:rPr>
        <w:t>17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lang w:val="en-US" w:eastAsia="zh-CN"/>
        </w:rPr>
      </w:pPr>
      <w:r>
        <w:rPr>
          <w:rFonts w:hint="eastAsia" w:cs="Times New Roman"/>
          <w:color w:val="000000" w:themeColor="text1"/>
          <w:sz w:val="32"/>
          <w:szCs w:val="32"/>
          <w:lang w:val="en-US" w:eastAsia="zh-CN"/>
          <w14:textFill>
            <w14:solidFill>
              <w14:schemeClr w14:val="tx1"/>
            </w14:solidFill>
          </w14:textFill>
        </w:rPr>
        <w:t>（此件公开发布）</w:t>
      </w:r>
    </w:p>
    <w:p>
      <w:pPr>
        <w:pStyle w:val="2"/>
        <w:rPr>
          <w:rFonts w:hint="default"/>
        </w:rPr>
      </w:pPr>
    </w:p>
    <w:p>
      <w:pPr>
        <w:ind w:firstLine="0" w:firstLineChars="0"/>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目　录</w:t>
      </w:r>
    </w:p>
    <w:p>
      <w:pPr>
        <w:ind w:firstLine="880"/>
        <w:jc w:val="center"/>
        <w:rPr>
          <w:rFonts w:hint="default" w:ascii="Times New Roman" w:hAnsi="Times New Roman" w:eastAsia="方正公文小标宋" w:cs="Times New Roman"/>
          <w:color w:val="000000" w:themeColor="text1"/>
          <w:sz w:val="44"/>
          <w:szCs w:val="44"/>
          <w14:textFill>
            <w14:solidFill>
              <w14:schemeClr w14:val="tx1"/>
            </w14:solidFill>
          </w14:textFill>
        </w:rPr>
      </w:pPr>
    </w:p>
    <w:p>
      <w:pPr>
        <w:pStyle w:val="6"/>
        <w:numPr>
          <w:ilvl w:val="255"/>
          <w:numId w:val="0"/>
        </w:numPr>
        <w:ind w:firstLine="640" w:firstLineChars="200"/>
        <w:jc w:val="left"/>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一、序言</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二、发展基础与面临形势</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（一）发展基础</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（二）面临问题与挑战</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（三）形势要求</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三、指导思想、发展目标</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（一）指导思想</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（二）发展目标</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四、发展重点和主要任务</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（一）坚定政治信仰，加强党的全面领导</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（二）丰富各类资源，推动教育优先发展</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（三）</w:t>
      </w:r>
      <w:r>
        <w:rPr>
          <w:rFonts w:hint="default" w:ascii="Times New Roman" w:hAnsi="Times New Roman" w:eastAsia="方正楷体_GBK" w:cs="Times New Roman"/>
          <w:color w:val="000000" w:themeColor="text1"/>
          <w:szCs w:val="32"/>
          <w:lang w:eastAsia="zh-CN"/>
          <w14:textFill>
            <w14:solidFill>
              <w14:schemeClr w14:val="tx1"/>
            </w14:solidFill>
          </w14:textFill>
        </w:rPr>
        <w:t>坚持</w:t>
      </w:r>
      <w:r>
        <w:rPr>
          <w:rFonts w:hint="default" w:ascii="Times New Roman" w:hAnsi="Times New Roman" w:eastAsia="方正楷体_GBK" w:cs="Times New Roman"/>
          <w:color w:val="000000" w:themeColor="text1"/>
          <w:szCs w:val="32"/>
          <w14:textFill>
            <w14:solidFill>
              <w14:schemeClr w14:val="tx1"/>
            </w14:solidFill>
          </w14:textFill>
        </w:rPr>
        <w:t>公平优质，各类教育协调发展</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（四）落实立德树人，促进学生全面成长</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（五）深化改革创新，激发学校发展活力</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（六）提升专业素养，锻造教育人才队伍</w:t>
      </w:r>
    </w:p>
    <w:p>
      <w:pPr>
        <w:ind w:firstLine="640"/>
        <w:jc w:val="left"/>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五、规划发展重点工程</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（一）党建品牌引领先锋工程</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（二）资源建设质量提升工程</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（三）国家级学前教育普及普惠创建工程</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（四）国家级义务教育优质均衡创建工程</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（五）优秀教育人才培养工程</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（六）内涵发展改革创新工程</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六、保障措施</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（一）着力推进依法治教</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（二）不断强化制度保障</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（三）持续营造良好生态</w:t>
      </w:r>
    </w:p>
    <w:p>
      <w:pPr>
        <w:pStyle w:val="6"/>
        <w:numPr>
          <w:ilvl w:val="255"/>
          <w:numId w:val="0"/>
        </w:numPr>
        <w:ind w:firstLine="640" w:firstLineChars="200"/>
        <w:jc w:val="left"/>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（四）有力保障平安校园</w:t>
      </w: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黑体" w:cs="Times New Roman"/>
          <w:color w:val="000000" w:themeColor="text1"/>
          <w:szCs w:val="32"/>
          <w14:textFill>
            <w14:solidFill>
              <w14:schemeClr w14:val="tx1"/>
            </w14:solidFill>
          </w14:textFill>
        </w:rPr>
      </w:pPr>
    </w:p>
    <w:p>
      <w:pPr>
        <w:ind w:firstLine="640"/>
        <w:rPr>
          <w:rFonts w:hint="default" w:ascii="Times New Roman" w:hAnsi="Times New Roman" w:eastAsia="方正黑体_GBK" w:cs="Times New Roman"/>
          <w:color w:val="000000" w:themeColor="text1"/>
          <w:szCs w:val="32"/>
          <w14:textFill>
            <w14:solidFill>
              <w14:schemeClr w14:val="tx1"/>
            </w14:solidFill>
          </w14:textFill>
        </w:rPr>
      </w:pPr>
    </w:p>
    <w:p>
      <w:pPr>
        <w:ind w:firstLine="640"/>
        <w:rPr>
          <w:rFonts w:hint="default" w:ascii="Times New Roman" w:hAnsi="Times New Roman" w:eastAsia="方正黑体_GBK" w:cs="Times New Roman"/>
          <w:color w:val="000000" w:themeColor="text1"/>
          <w:szCs w:val="32"/>
          <w14:textFill>
            <w14:solidFill>
              <w14:schemeClr w14:val="tx1"/>
            </w14:solidFill>
          </w14:textFill>
        </w:rPr>
      </w:pPr>
    </w:p>
    <w:p>
      <w:pPr>
        <w:ind w:firstLine="640"/>
        <w:rPr>
          <w:rFonts w:hint="default" w:ascii="Times New Roman" w:hAnsi="Times New Roman" w:eastAsia="方正黑体_GBK" w:cs="Times New Roman"/>
          <w:color w:val="000000" w:themeColor="text1"/>
          <w:szCs w:val="32"/>
          <w14:textFill>
            <w14:solidFill>
              <w14:schemeClr w14:val="tx1"/>
            </w14:solidFill>
          </w14:textFill>
        </w:rPr>
      </w:pPr>
    </w:p>
    <w:p>
      <w:pPr>
        <w:ind w:firstLine="640"/>
        <w:rPr>
          <w:rFonts w:hint="default" w:ascii="Times New Roman" w:hAnsi="Times New Roman" w:eastAsia="方正黑体_GBK"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eastAsia="方正黑体_GBK" w:cs="Times New Roman"/>
          <w:color w:val="000000" w:themeColor="text1"/>
          <w:szCs w:val="32"/>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 xml:space="preserve">一、序言    </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cs="Times New Roman"/>
        </w:rPr>
      </w:pPr>
      <w:r>
        <w:rPr>
          <w:rFonts w:hint="default" w:ascii="Times New Roman" w:hAnsi="Times New Roman" w:cs="Times New Roman"/>
        </w:rPr>
        <w:t>为办好人民满意的教育，加快推进教育现代化，高质量完成天宁区经济社会发展“十四五”目标任务，更好地推进天宁教育事业全面协调可持续发展，根据《常州教育现代化2035》《常州市“十四五”教育发展规划》和《常州市天宁区国民经济和社会发展第十四个五年规划纲要和二〇三五年远景目标》，编制本规划。</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二、发展基础与面临形势</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（一）发展基础</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cs="Times New Roman"/>
        </w:rPr>
      </w:pPr>
      <w:r>
        <w:rPr>
          <w:rFonts w:hint="default" w:ascii="Times New Roman" w:hAnsi="Times New Roman" w:cs="Times New Roman"/>
        </w:rPr>
        <w:t>“十三五”以来，天宁教育聚焦“公平”和“质量”，以“办人民满意的教育”为目标，以深化教育现代化建设为主线，大力推进教育优质均衡发展，区域教育呈现出高品质发展的良好态势，先后荣获“全国义务教育基本均衡区”“全国中小学校责任督学挂牌督导创新区”“全国青少年校园足球试点区”“全国社区教育实验区”“国家义务教育质量监测实施优秀组织单位”“江苏省平安校园建设示范区”“全省关心下一代工作先进集体”等荣誉。</w:t>
      </w:r>
    </w:p>
    <w:p>
      <w:pPr>
        <w:keepNext w:val="0"/>
        <w:keepLines w:val="0"/>
        <w:pageBreakBefore w:val="0"/>
        <w:widowControl w:val="0"/>
        <w:kinsoku/>
        <w:wordWrap/>
        <w:overflowPunct/>
        <w:topLinePunct w:val="0"/>
        <w:bidi w:val="0"/>
        <w:snapToGrid/>
        <w:ind w:firstLine="643"/>
        <w:textAlignment w:val="auto"/>
        <w:outlineLvl w:val="9"/>
        <w:rPr>
          <w:rFonts w:hint="default" w:ascii="Times New Roman" w:hAnsi="Times New Roman" w:cs="Times New Roman"/>
        </w:rPr>
      </w:pPr>
      <w:r>
        <w:rPr>
          <w:rFonts w:hint="default" w:ascii="Times New Roman" w:hAnsi="Times New Roman" w:cs="Times New Roman"/>
          <w:b/>
          <w:bCs/>
          <w:szCs w:val="36"/>
        </w:rPr>
        <w:t>教育党建呈现新面貌。</w:t>
      </w:r>
      <w:r>
        <w:rPr>
          <w:rFonts w:hint="default" w:ascii="Times New Roman" w:hAnsi="Times New Roman" w:cs="Times New Roman"/>
        </w:rPr>
        <w:t>成立以区委书记为组长的区委教育工作领导小组，加强党对教育工作的全面领导。组建5个党建片区，提升教育系统党建工作的整体水平。创建“天宁星课堂”党建品牌，开展“书记项目”研究，新增10个市级以上“一校一品”党建文化品牌项目。加强精神文明建设，创成市级以上文明校园27所，市级“依法治校”先进单位100%覆盖，教育宣传连续六年获全市第一。全面压实党风廉政责任，确保教育系统风清气正。</w:t>
      </w:r>
    </w:p>
    <w:p>
      <w:pPr>
        <w:keepNext w:val="0"/>
        <w:keepLines w:val="0"/>
        <w:pageBreakBefore w:val="0"/>
        <w:widowControl w:val="0"/>
        <w:kinsoku/>
        <w:wordWrap/>
        <w:overflowPunct/>
        <w:topLinePunct w:val="0"/>
        <w:bidi w:val="0"/>
        <w:snapToGrid/>
        <w:ind w:firstLine="643"/>
        <w:textAlignment w:val="auto"/>
        <w:outlineLvl w:val="9"/>
        <w:rPr>
          <w:rFonts w:hint="default" w:ascii="Times New Roman" w:hAnsi="Times New Roman" w:cs="Times New Roman"/>
        </w:rPr>
      </w:pPr>
      <w:r>
        <w:rPr>
          <w:rFonts w:hint="default" w:ascii="Times New Roman" w:hAnsi="Times New Roman" w:cs="Times New Roman"/>
          <w:b/>
          <w:bCs/>
          <w:szCs w:val="36"/>
        </w:rPr>
        <w:t>教育保障凸显新成效。</w:t>
      </w:r>
      <w:r>
        <w:rPr>
          <w:rFonts w:hint="default" w:ascii="Times New Roman" w:hAnsi="Times New Roman" w:cs="Times New Roman"/>
        </w:rPr>
        <w:t>教育投入不断增强，全区“十三五”财政性教育总投入 43.36亿元，较“十二五”增长45.16%。积极引入社会资本，成立天宁区树人教育发展基金会。深入实施《天宁区学校建设</w:t>
      </w:r>
      <w:r>
        <w:rPr>
          <w:rFonts w:hint="default" w:ascii="Times New Roman" w:hAnsi="Times New Roman" w:cs="Times New Roman"/>
          <w:lang w:eastAsia="zh-CN"/>
        </w:rPr>
        <w:t>“</w:t>
      </w:r>
      <w:r>
        <w:rPr>
          <w:rFonts w:hint="default" w:ascii="Times New Roman" w:hAnsi="Times New Roman" w:cs="Times New Roman"/>
        </w:rPr>
        <w:t>十三五</w:t>
      </w:r>
      <w:r>
        <w:rPr>
          <w:rFonts w:hint="default" w:ascii="Times New Roman" w:hAnsi="Times New Roman" w:cs="Times New Roman"/>
          <w:lang w:eastAsia="zh-CN"/>
        </w:rPr>
        <w:t>”</w:t>
      </w:r>
      <w:r>
        <w:rPr>
          <w:rFonts w:hint="default" w:ascii="Times New Roman" w:hAnsi="Times New Roman" w:cs="Times New Roman"/>
        </w:rPr>
        <w:t>行动计划（2016-2020）》，新建学校项目29个、改扩建学校项目18个，增加学位3.3万个，学前教育资源配置率达0.83。对城区24所学校的教育装备进行“改薄”提升，城乡校际差异进一步缩小，教育事业发展保障能力极大提升，老百姓的教育获得感幸福感显著增强。</w:t>
      </w:r>
    </w:p>
    <w:p>
      <w:pPr>
        <w:keepNext w:val="0"/>
        <w:keepLines w:val="0"/>
        <w:pageBreakBefore w:val="0"/>
        <w:widowControl w:val="0"/>
        <w:kinsoku/>
        <w:wordWrap/>
        <w:overflowPunct/>
        <w:topLinePunct w:val="0"/>
        <w:bidi w:val="0"/>
        <w:snapToGrid/>
        <w:ind w:firstLine="643"/>
        <w:textAlignment w:val="auto"/>
        <w:outlineLvl w:val="9"/>
        <w:rPr>
          <w:rFonts w:hint="default" w:ascii="Times New Roman" w:hAnsi="Times New Roman" w:eastAsia="方正仿宋_GB2312" w:cs="Times New Roman"/>
        </w:rPr>
      </w:pPr>
      <w:r>
        <w:rPr>
          <w:rFonts w:hint="default" w:ascii="Times New Roman" w:hAnsi="Times New Roman" w:cs="Times New Roman"/>
          <w:b/>
          <w:bCs/>
          <w:szCs w:val="36"/>
        </w:rPr>
        <w:t>教育惠民迈出新步伐。</w:t>
      </w:r>
      <w:r>
        <w:rPr>
          <w:rFonts w:hint="default" w:ascii="Times New Roman" w:hAnsi="Times New Roman" w:cs="Times New Roman"/>
        </w:rPr>
        <w:t>幼儿园、小学、初中、高中集团化办学实现全覆盖。集团领衔学校全部获市、区集团</w:t>
      </w:r>
      <w:r>
        <w:rPr>
          <w:rFonts w:hint="default" w:ascii="Times New Roman" w:hAnsi="Times New Roman" w:cs="Times New Roman"/>
          <w:lang w:eastAsia="zh-CN"/>
        </w:rPr>
        <w:t>化</w:t>
      </w:r>
      <w:r>
        <w:rPr>
          <w:rFonts w:hint="default" w:ascii="Times New Roman" w:hAnsi="Times New Roman" w:cs="Times New Roman"/>
        </w:rPr>
        <w:t>办学先进集体。启动集团化办学“十年磨一剑”项目，推进集团化办学2.0版本，3所集团化办学成熟学校创成“常州市新优质学校”。全区学前教育毛入园率、义务教育巩固率均达到100%，残疾儿童义务教育阶段入学率达100%，随迁子女在公办学校就读比例100%。全区100%的中小学开展课后服务，</w:t>
      </w:r>
      <w:r>
        <w:rPr>
          <w:rFonts w:hint="default" w:ascii="Times New Roman" w:hAnsi="Times New Roman" w:cs="Times New Roman"/>
          <w:lang w:bidi="zh-CN"/>
        </w:rPr>
        <w:t>所有建档立卡家庭学生100%精准兜底资助，</w:t>
      </w:r>
      <w:r>
        <w:rPr>
          <w:rFonts w:hint="default" w:ascii="Times New Roman" w:hAnsi="Times New Roman" w:cs="Times New Roman"/>
        </w:rPr>
        <w:t>累计向3340人次发放助学金325.6万元。</w:t>
      </w:r>
    </w:p>
    <w:p>
      <w:pPr>
        <w:keepNext w:val="0"/>
        <w:keepLines w:val="0"/>
        <w:pageBreakBefore w:val="0"/>
        <w:widowControl w:val="0"/>
        <w:kinsoku/>
        <w:wordWrap/>
        <w:overflowPunct/>
        <w:topLinePunct w:val="0"/>
        <w:bidi w:val="0"/>
        <w:snapToGrid/>
        <w:ind w:firstLine="643"/>
        <w:textAlignment w:val="auto"/>
        <w:outlineLvl w:val="9"/>
        <w:rPr>
          <w:rFonts w:hint="default" w:ascii="Times New Roman" w:hAnsi="Times New Roman" w:eastAsia="方正仿宋_GBK" w:cs="Times New Roman"/>
          <w:szCs w:val="32"/>
        </w:rPr>
      </w:pPr>
      <w:r>
        <w:rPr>
          <w:rFonts w:hint="default" w:ascii="Times New Roman" w:hAnsi="Times New Roman" w:cs="Times New Roman"/>
          <w:b/>
          <w:bCs/>
          <w:szCs w:val="36"/>
        </w:rPr>
        <w:t>教育内涵获得新提升。</w:t>
      </w:r>
      <w:r>
        <w:rPr>
          <w:rFonts w:hint="default" w:ascii="Times New Roman" w:hAnsi="Times New Roman" w:eastAsia="方正仿宋_GBK" w:cs="Times New Roman"/>
          <w:bCs/>
          <w:szCs w:val="36"/>
        </w:rPr>
        <w:t>引</w:t>
      </w:r>
      <w:r>
        <w:rPr>
          <w:rFonts w:hint="default" w:ascii="Times New Roman" w:hAnsi="Times New Roman" w:eastAsia="方正仿宋_GBK" w:cs="Times New Roman"/>
          <w:szCs w:val="32"/>
        </w:rPr>
        <w:t>进全课程、新基础等教育改革项目，成为课程改革发展的先行者</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互联网+’时代课堂教学范式研究”成果获得教育部、中央电教馆的高度认可，创客教育在全国、全省作示范引领，全面启动全省前瞻性改革项目“新教学”实验。五年来，新增省、市优质园11所、市“新优质学校”12所，市级以上“基础教育内涵建设项目”49个、教育科研项目近百个。获得全省特教类唯一的前瞻性重大改革项目，向全国10多个城市辐射特教经验。完成区域老年大学全覆盖，获“江苏省社区教育示范区”。</w:t>
      </w:r>
    </w:p>
    <w:p>
      <w:pPr>
        <w:keepNext w:val="0"/>
        <w:keepLines w:val="0"/>
        <w:pageBreakBefore w:val="0"/>
        <w:widowControl w:val="0"/>
        <w:kinsoku/>
        <w:wordWrap/>
        <w:overflowPunct/>
        <w:topLinePunct w:val="0"/>
        <w:bidi w:val="0"/>
        <w:snapToGrid/>
        <w:ind w:firstLine="643"/>
        <w:textAlignment w:val="auto"/>
        <w:outlineLvl w:val="9"/>
        <w:rPr>
          <w:rFonts w:hint="default" w:ascii="Times New Roman" w:hAnsi="Times New Roman" w:cs="Times New Roman"/>
        </w:rPr>
      </w:pPr>
      <w:r>
        <w:rPr>
          <w:rFonts w:hint="default" w:ascii="Times New Roman" w:hAnsi="Times New Roman" w:cs="Times New Roman"/>
          <w:b/>
          <w:bCs/>
          <w:szCs w:val="36"/>
        </w:rPr>
        <w:t>教育师资激发新活力。</w:t>
      </w:r>
      <w:r>
        <w:rPr>
          <w:rFonts w:hint="default" w:ascii="Times New Roman" w:hAnsi="Times New Roman" w:cs="Times New Roman"/>
        </w:rPr>
        <w:t>加强人才队伍锻造，新增1名市首席专家、3名省特级教师，170人荣获市五级梯队称号。深入推进“三名工程”，新增常州市“名校长”31人次、教育领军人才11人、管理拔尖人才33人；新增“名教师工作室”47个、市级以上教师发展示范基地4个，区教师发展中心创成江苏省示范性县级教师发展中心，全区在市级以上专业竞赛获奖227人，位于全市前列。</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（二）面临的问题与挑战</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cs="Times New Roman"/>
        </w:rPr>
      </w:pPr>
      <w:r>
        <w:rPr>
          <w:rFonts w:hint="default" w:ascii="Times New Roman" w:hAnsi="Times New Roman" w:cs="Times New Roman"/>
        </w:rPr>
        <w:t>“十三五”时期，天宁教育改革与发展取得了重要成就，谱写了非凡篇章。但对照高质量发展的要求，天宁教育依然面临新的问题和挑战，主要表现在：基础教育发展仍旧不够平衡不够充分，需要进一步优化教育资源布局，加大教育资源供给，缓解供需矛盾；部分地处老小区的学校（幼儿园）在校额控制、生均占地和生均活动面积、设备更新等方面，面临着“优质均衡发展”指标的压力，大校额现象依然存在；城乡教育一体化发展还需进一步推进，区域内教育资源交流仍需加强；指向学生核心素养发展的育人模式和环境有待完善，聚焦课堂教与学方式的研究需要进一步深化；教育发展的师资保障水平有待进一步提升，学前教育师资短缺，中小学教师结构性矛盾依然突出，高层次创新型人才数量还不够。</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（三）形势要求</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cs="Times New Roman"/>
        </w:rPr>
      </w:pPr>
      <w:r>
        <w:rPr>
          <w:rFonts w:hint="default" w:ascii="Times New Roman" w:hAnsi="Times New Roman" w:cs="Times New Roman"/>
        </w:rPr>
        <w:t>“十四五”时期是我市开启全面建设社会主义现代化新征程的起步期，也是乘势而上、赢得新一轮发展机遇的关键阶段。天宁教育发展面临人才竞争与人力资源优化提升、社会转型发展对教育多元需求、教育改革与治理方式转变等多重挑战，天宁教育改革与发展将在全区经济社会发展中处于前所未有的重要地位。</w:t>
      </w:r>
    </w:p>
    <w:p>
      <w:pPr>
        <w:keepNext w:val="0"/>
        <w:keepLines w:val="0"/>
        <w:pageBreakBefore w:val="0"/>
        <w:widowControl w:val="0"/>
        <w:kinsoku/>
        <w:wordWrap/>
        <w:overflowPunct/>
        <w:topLinePunct w:val="0"/>
        <w:bidi w:val="0"/>
        <w:snapToGrid/>
        <w:ind w:firstLine="643"/>
        <w:textAlignment w:val="auto"/>
        <w:outlineLvl w:val="9"/>
        <w:rPr>
          <w:rFonts w:hint="default" w:ascii="Times New Roman" w:hAnsi="Times New Roman" w:cs="Times New Roman"/>
        </w:rPr>
      </w:pPr>
      <w:r>
        <w:rPr>
          <w:rFonts w:hint="default" w:ascii="Times New Roman" w:hAnsi="Times New Roman" w:cs="Times New Roman"/>
          <w:b/>
          <w:bCs/>
          <w:szCs w:val="36"/>
        </w:rPr>
        <w:t>从时代发展趋势看，</w:t>
      </w:r>
      <w:r>
        <w:rPr>
          <w:rFonts w:hint="default" w:ascii="Times New Roman" w:hAnsi="Times New Roman" w:cs="Times New Roman"/>
        </w:rPr>
        <w:t>党的十九届五中全会明确提出“建设高质量的教育体系”。江苏省第十四次党代会报告中提出：要持续深化教育改革，提升基础教育水平，高标准建设教育强省。常州市第十三次党代会报告中提出：要打造“常有优学”“常有善育”的名片，办好人民满意的教育。加快教育现代化建设步伐，努力构建基础教育新生态是大势所趋。</w:t>
      </w:r>
    </w:p>
    <w:p>
      <w:pPr>
        <w:keepNext w:val="0"/>
        <w:keepLines w:val="0"/>
        <w:pageBreakBefore w:val="0"/>
        <w:widowControl w:val="0"/>
        <w:kinsoku/>
        <w:wordWrap/>
        <w:overflowPunct/>
        <w:topLinePunct w:val="0"/>
        <w:bidi w:val="0"/>
        <w:snapToGrid/>
        <w:ind w:firstLine="643"/>
        <w:textAlignment w:val="auto"/>
        <w:outlineLvl w:val="9"/>
        <w:rPr>
          <w:rFonts w:hint="default" w:ascii="Times New Roman" w:hAnsi="Times New Roman" w:cs="Times New Roman"/>
        </w:rPr>
      </w:pPr>
      <w:r>
        <w:rPr>
          <w:rFonts w:hint="default" w:ascii="Times New Roman" w:hAnsi="Times New Roman" w:cs="Times New Roman"/>
          <w:b/>
          <w:bCs/>
          <w:szCs w:val="36"/>
        </w:rPr>
        <w:t>从人民群众期盼看，</w:t>
      </w:r>
      <w:r>
        <w:rPr>
          <w:rFonts w:hint="default" w:ascii="Times New Roman" w:hAnsi="Times New Roman" w:cs="Times New Roman"/>
        </w:rPr>
        <w:t>教育是最大的民生工程，是面向未来的事业。“十四五”及今后一阶段，人民群众对教育的需求更加多样，更多关注学校建设质量、课堂教学质量、教师发展质量、学生成长质量和升学就业质量，对办学条件改善、育人方式变革、综合实践拓展、身心健康发展等方面需求愈发强烈，教育创新与服务潜力有待进一步提升与释放。</w:t>
      </w:r>
    </w:p>
    <w:p>
      <w:pPr>
        <w:keepNext w:val="0"/>
        <w:keepLines w:val="0"/>
        <w:pageBreakBefore w:val="0"/>
        <w:widowControl w:val="0"/>
        <w:kinsoku/>
        <w:wordWrap/>
        <w:overflowPunct/>
        <w:topLinePunct w:val="0"/>
        <w:bidi w:val="0"/>
        <w:snapToGrid/>
        <w:ind w:firstLine="643"/>
        <w:textAlignment w:val="auto"/>
        <w:outlineLvl w:val="9"/>
        <w:rPr>
          <w:rFonts w:hint="default" w:ascii="Times New Roman" w:hAnsi="Times New Roman" w:cs="Times New Roman"/>
        </w:rPr>
      </w:pPr>
      <w:r>
        <w:rPr>
          <w:rFonts w:hint="default" w:ascii="Times New Roman" w:hAnsi="Times New Roman" w:cs="Times New Roman"/>
          <w:b/>
          <w:bCs/>
          <w:szCs w:val="36"/>
        </w:rPr>
        <w:t>从教育发展要求看，</w:t>
      </w:r>
      <w:r>
        <w:rPr>
          <w:rFonts w:hint="default" w:ascii="Times New Roman" w:hAnsi="Times New Roman" w:cs="Times New Roman"/>
        </w:rPr>
        <w:t>为党育人</w:t>
      </w:r>
      <w:r>
        <w:rPr>
          <w:rFonts w:hint="default" w:ascii="Times New Roman" w:hAnsi="Times New Roman" w:cs="Times New Roman"/>
          <w:lang w:eastAsia="zh-CN"/>
        </w:rPr>
        <w:t>、</w:t>
      </w:r>
      <w:r>
        <w:rPr>
          <w:rFonts w:hint="default" w:ascii="Times New Roman" w:hAnsi="Times New Roman" w:cs="Times New Roman"/>
        </w:rPr>
        <w:t>为国育才是教育的使命，落实立德树人是根本任务，深化教育领域综合改革是主要途径。随着教育改革的深入，必须加快推动人才培养模式改革，增进优质教育资源共建共享，缩小区域、城乡、校际差距，需要进一步深化办学体制和管理体制改革，优化教育管理方式，推进教育治理体系和治理能力现代化。</w:t>
      </w:r>
    </w:p>
    <w:p>
      <w:pPr>
        <w:keepNext w:val="0"/>
        <w:keepLines w:val="0"/>
        <w:pageBreakBefore w:val="0"/>
        <w:widowControl w:val="0"/>
        <w:kinsoku/>
        <w:wordWrap/>
        <w:overflowPunct/>
        <w:topLinePunct w:val="0"/>
        <w:bidi w:val="0"/>
        <w:snapToGrid/>
        <w:ind w:firstLine="643"/>
        <w:textAlignment w:val="auto"/>
        <w:outlineLvl w:val="9"/>
        <w:rPr>
          <w:rFonts w:hint="default" w:ascii="Times New Roman" w:hAnsi="Times New Roman" w:cs="Times New Roman"/>
        </w:rPr>
      </w:pPr>
      <w:r>
        <w:rPr>
          <w:rFonts w:hint="default" w:ascii="Times New Roman" w:hAnsi="Times New Roman" w:cs="Times New Roman"/>
          <w:b/>
          <w:bCs/>
          <w:szCs w:val="36"/>
        </w:rPr>
        <w:t>从天宁教育区情看，</w:t>
      </w:r>
      <w:r>
        <w:rPr>
          <w:rFonts w:hint="default" w:ascii="Times New Roman" w:hAnsi="Times New Roman" w:cs="Times New Roman"/>
        </w:rPr>
        <w:t>全区教育现代化、城乡一体化、校际均衡化发展有待加强，部分学校教学设施有待更新，标准化、信息化水平需要提升。高素质、高层次师资队伍建设任重道远，特别是教育家型领军校长、高端教师人才数量还不多，区域之间教师工资收入水平还有一定差距。加快补齐基础教育薄弱短板，构建更加公平、普惠和高质量的基础教育体制机制刻不容缓。</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三、指导思想和发展目标</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（一）指导思想</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坚持以习近平新时代中国特色社会主义思想为指导，深入贯彻党的十九大和十九届二中、三中、四中、五中、六中全会精神，紧紧围绕统筹推进“五位一体”总体布局和协调推进“四个全面”战略布局，坚定不移贯彻新发展理念，以习近平总书记关于教育的重要论述为根本遵循，坚持和加强党对教育工作的全面领导，全面贯彻党的教育方针，围绕立德树人根本任务，把握教育发展规律，深化改革创新，着力增效提质，努力打造“常有优学”教育名片，为每个学生全面发展提供更适合的教育，为建设“</w:t>
      </w:r>
      <w:r>
        <w:rPr>
          <w:rFonts w:hint="default" w:ascii="Times New Roman" w:hAnsi="Times New Roman" w:eastAsia="方正仿宋_GBK" w:cs="Times New Roman"/>
          <w:i w:val="0"/>
          <w:iCs w:val="0"/>
          <w:caps w:val="0"/>
          <w:color w:val="auto"/>
          <w:spacing w:val="0"/>
          <w:kern w:val="0"/>
          <w:sz w:val="32"/>
          <w:szCs w:val="32"/>
          <w:shd w:val="clear" w:fill="auto"/>
        </w:rPr>
        <w:t>长三角三新经济高地</w:t>
      </w:r>
      <w:r>
        <w:rPr>
          <w:rFonts w:hint="default" w:ascii="Times New Roman" w:hAnsi="Times New Roman" w:eastAsia="方正仿宋_GBK" w:cs="Times New Roman"/>
          <w:i w:val="0"/>
          <w:iCs w:val="0"/>
          <w:caps w:val="0"/>
          <w:spacing w:val="0"/>
          <w:kern w:val="0"/>
          <w:sz w:val="32"/>
          <w:szCs w:val="32"/>
          <w:shd w:val="clear"/>
          <w:lang w:val="en-US" w:eastAsia="zh-CN"/>
        </w:rPr>
        <w:t xml:space="preserve"> </w:t>
      </w:r>
      <w:r>
        <w:rPr>
          <w:rStyle w:val="12"/>
          <w:rFonts w:hint="default" w:ascii="Times New Roman" w:hAnsi="Times New Roman" w:eastAsia="方正仿宋_GBK" w:cs="Times New Roman"/>
          <w:i w:val="0"/>
          <w:iCs w:val="0"/>
          <w:caps w:val="0"/>
          <w:spacing w:val="0"/>
          <w:kern w:val="0"/>
          <w:sz w:val="32"/>
          <w:szCs w:val="32"/>
          <w:shd w:val="clear"/>
        </w:rPr>
        <w:t>现代化城乡治理样板</w:t>
      </w:r>
      <w:r>
        <w:rPr>
          <w:rFonts w:hint="default" w:ascii="Times New Roman" w:hAnsi="Times New Roman" w:eastAsia="方正仿宋_GBK" w:cs="Times New Roman"/>
          <w:kern w:val="0"/>
          <w:sz w:val="32"/>
          <w:szCs w:val="32"/>
        </w:rPr>
        <w:t>”作出应有贡献。</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（二）发展目标</w:t>
      </w:r>
    </w:p>
    <w:p>
      <w:pPr>
        <w:keepNext w:val="0"/>
        <w:keepLines w:val="0"/>
        <w:pageBreakBefore w:val="0"/>
        <w:widowControl w:val="0"/>
        <w:kinsoku/>
        <w:wordWrap/>
        <w:overflowPunct/>
        <w:topLinePunct w:val="0"/>
        <w:bidi w:val="0"/>
        <w:snapToGrid/>
        <w:ind w:firstLine="640"/>
        <w:textAlignment w:val="auto"/>
        <w:outlineLvl w:val="9"/>
        <w:rPr>
          <w:rFonts w:hint="default" w:ascii="Times New Roman" w:hAnsi="Times New Roman" w:cs="Times New Roman"/>
        </w:rPr>
      </w:pPr>
      <w:r>
        <w:rPr>
          <w:rFonts w:hint="default" w:ascii="Times New Roman" w:hAnsi="Times New Roman" w:cs="Times New Roman"/>
        </w:rPr>
        <w:t>到2025年，各类教育协调发展，城乡教育一体发展，优质教育资源供给更好适配学前教育普及普惠、义务教育优质均衡发展，教育治理能力与现代化水平进一步提高，教育内涵建设进一步提升，学校与家庭、社区联动机制进一步优化，人才招引、师资培养形成天宁品牌，育人环境、育人方式有效改善，学生综合素养全面提高，依法治教、依法治校的教育生态全面形成，社会关注教育热点、难点问题得到有效缓解，为2035年全面实现教育现代化奠定坚实基础。</w:t>
      </w:r>
    </w:p>
    <w:p>
      <w:pPr>
        <w:ind w:firstLine="640"/>
        <w:rPr>
          <w:rFonts w:hint="default" w:ascii="Times New Roman" w:hAnsi="Times New Roman" w:eastAsia="方正仿宋_GB2312" w:cs="Times New Roman"/>
          <w:szCs w:val="32"/>
        </w:rPr>
      </w:pPr>
    </w:p>
    <w:p>
      <w:pPr>
        <w:autoSpaceDE w:val="0"/>
        <w:autoSpaceDN w:val="0"/>
        <w:adjustRightInd w:val="0"/>
        <w:spacing w:afterLines="50"/>
        <w:ind w:firstLine="0" w:firstLineChars="0"/>
        <w:jc w:val="center"/>
        <w:rPr>
          <w:rFonts w:hint="default" w:ascii="Times New Roman" w:hAnsi="Times New Roman" w:eastAsia="楷体" w:cs="Times New Roman"/>
          <w:kern w:val="0"/>
          <w:sz w:val="28"/>
          <w:szCs w:val="28"/>
        </w:rPr>
      </w:pPr>
      <w:r>
        <w:rPr>
          <w:rFonts w:hint="eastAsia" w:ascii="方正楷体_GBK" w:hAnsi="方正楷体_GBK" w:eastAsia="方正楷体_GBK" w:cs="方正楷体_GBK"/>
          <w:b/>
          <w:kern w:val="0"/>
          <w:szCs w:val="32"/>
        </w:rPr>
        <w:t>表1： “十四五”天宁教育发展主要发展指标</w:t>
      </w: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847"/>
        <w:gridCol w:w="184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指    标</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2020年</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060"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一、国际通用类指标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学前三年毛入园率（%）</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义务教育巩固率（%）</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43"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生师比</w:t>
            </w:r>
          </w:p>
        </w:tc>
        <w:tc>
          <w:tcPr>
            <w:tcW w:w="284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中小学</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16.86:1</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sz w:val="28"/>
                <w:szCs w:val="28"/>
              </w:rPr>
            </w:pPr>
          </w:p>
        </w:tc>
        <w:tc>
          <w:tcPr>
            <w:tcW w:w="284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其中：小学</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17.65:1</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劳动年龄人口平均受教育年限（年）</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&gt;12</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60"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二、地方发展性指标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普惠性幼儿园覆盖率（%）</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90</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义务教育学校达到省定办学标准比例（%）</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义务教育标准班额比例（%）</w:t>
            </w:r>
          </w:p>
          <w:p>
            <w:pPr>
              <w:adjustRightIn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其中：小学</w:t>
            </w:r>
          </w:p>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初中</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p>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68.68</w:t>
            </w:r>
          </w:p>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81.60</w:t>
            </w:r>
          </w:p>
        </w:tc>
        <w:tc>
          <w:tcPr>
            <w:tcW w:w="1727" w:type="dxa"/>
            <w:tcBorders>
              <w:top w:val="single" w:color="auto" w:sz="4" w:space="0"/>
              <w:left w:val="nil"/>
              <w:bottom w:val="single" w:color="auto" w:sz="4" w:space="0"/>
              <w:right w:val="single" w:color="auto" w:sz="4" w:space="0"/>
            </w:tcBorders>
            <w:vAlign w:val="center"/>
          </w:tcPr>
          <w:p>
            <w:pPr>
              <w:adjustRightInd w:val="0"/>
              <w:spacing w:line="240" w:lineRule="auto"/>
              <w:ind w:firstLine="0" w:firstLineChars="0"/>
              <w:jc w:val="center"/>
              <w:rPr>
                <w:rFonts w:hint="default" w:ascii="Times New Roman" w:hAnsi="Times New Roman" w:cs="Times New Roman"/>
                <w:sz w:val="28"/>
                <w:szCs w:val="28"/>
              </w:rPr>
            </w:pPr>
          </w:p>
          <w:p>
            <w:pPr>
              <w:adjustRightIn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100</w:t>
            </w:r>
          </w:p>
          <w:p>
            <w:pPr>
              <w:adjustRightIn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县域义务教育学校资源配置校际差异系数</w:t>
            </w:r>
          </w:p>
          <w:p>
            <w:pPr>
              <w:adjustRightIn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其中：小学</w:t>
            </w:r>
          </w:p>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初中</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p>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≦0.18</w:t>
            </w:r>
          </w:p>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≦0.23</w:t>
            </w:r>
          </w:p>
        </w:tc>
        <w:tc>
          <w:tcPr>
            <w:tcW w:w="1727" w:type="dxa"/>
            <w:tcBorders>
              <w:top w:val="single" w:color="auto" w:sz="4" w:space="0"/>
              <w:left w:val="nil"/>
              <w:bottom w:val="single" w:color="auto" w:sz="4" w:space="0"/>
              <w:right w:val="single" w:color="auto" w:sz="4" w:space="0"/>
            </w:tcBorders>
            <w:vAlign w:val="center"/>
          </w:tcPr>
          <w:p>
            <w:pPr>
              <w:adjustRightInd w:val="0"/>
              <w:spacing w:line="240" w:lineRule="auto"/>
              <w:ind w:firstLine="0" w:firstLineChars="0"/>
              <w:rPr>
                <w:rFonts w:hint="default" w:ascii="Times New Roman" w:hAnsi="Times New Roman" w:cs="Times New Roman"/>
                <w:sz w:val="28"/>
                <w:szCs w:val="28"/>
              </w:rPr>
            </w:pPr>
          </w:p>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≦0.18</w:t>
            </w:r>
          </w:p>
          <w:p>
            <w:pPr>
              <w:adjustRightIn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pacing w:val="-8"/>
                <w:sz w:val="28"/>
                <w:szCs w:val="28"/>
              </w:rPr>
              <w:t>义务教育专任教师中本科及以上学历比例（%）</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95.36</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市级“五级阶梯”教师人数（百人）</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6.38</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&gt;7.00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学生体质健康达标率（%）</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96.6</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&gt;97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各级各类学校智慧校园比例（%）</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80</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40"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老年人社区教育活动年参与率（%）</w:t>
            </w:r>
          </w:p>
        </w:tc>
        <w:tc>
          <w:tcPr>
            <w:tcW w:w="1843"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47</w:t>
            </w:r>
          </w:p>
        </w:tc>
        <w:tc>
          <w:tcPr>
            <w:tcW w:w="1727" w:type="dxa"/>
            <w:tcBorders>
              <w:top w:val="single" w:color="auto" w:sz="4" w:space="0"/>
              <w:left w:val="nil"/>
              <w:bottom w:val="single" w:color="auto" w:sz="4" w:space="0"/>
              <w:right w:val="single" w:color="auto" w:sz="4" w:space="0"/>
            </w:tcBorders>
            <w:vAlign w:val="center"/>
          </w:tcPr>
          <w:p>
            <w:pPr>
              <w:autoSpaceDE w:val="0"/>
              <w:adjustRightInd w:val="0"/>
              <w:snapToGrid w:val="0"/>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50</w:t>
            </w:r>
          </w:p>
        </w:tc>
      </w:tr>
    </w:tbl>
    <w:p>
      <w:pPr>
        <w:ind w:firstLine="640"/>
        <w:rPr>
          <w:rFonts w:hint="default" w:ascii="Times New Roman" w:hAnsi="Times New Roman" w:eastAsia="方正仿宋_GB2312" w:cs="Times New Roman"/>
          <w:szCs w:val="32"/>
        </w:rPr>
      </w:pPr>
    </w:p>
    <w:p>
      <w:pPr>
        <w:ind w:firstLine="640"/>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四、发展重点和主要任务</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（一）坚定政治信仰，加强党的全面领导</w:t>
      </w:r>
    </w:p>
    <w:p>
      <w:pPr>
        <w:ind w:firstLine="643"/>
        <w:rPr>
          <w:rFonts w:hint="default" w:ascii="Times New Roman" w:hAnsi="Times New Roman" w:cs="Times New Roman"/>
          <w:kern w:val="0"/>
        </w:rPr>
      </w:pPr>
      <w:r>
        <w:rPr>
          <w:rFonts w:hint="default" w:ascii="Times New Roman" w:hAnsi="Times New Roman" w:cs="Times New Roman"/>
          <w:b/>
          <w:bCs/>
          <w:szCs w:val="36"/>
        </w:rPr>
        <w:t>1.</w:t>
      </w:r>
      <w:r>
        <w:rPr>
          <w:rFonts w:hint="eastAsia" w:cs="Times New Roman"/>
          <w:b/>
          <w:bCs/>
          <w:szCs w:val="36"/>
          <w:lang w:val="en-US" w:eastAsia="zh-CN"/>
        </w:rPr>
        <w:t xml:space="preserve"> </w:t>
      </w:r>
      <w:r>
        <w:rPr>
          <w:rFonts w:hint="default" w:ascii="Times New Roman" w:hAnsi="Times New Roman" w:cs="Times New Roman"/>
          <w:b/>
          <w:bCs/>
          <w:szCs w:val="36"/>
        </w:rPr>
        <w:t>加强思想政治引领。</w:t>
      </w:r>
      <w:r>
        <w:rPr>
          <w:rFonts w:hint="default" w:ascii="Times New Roman" w:hAnsi="Times New Roman" w:cs="Times New Roman"/>
          <w:kern w:val="0"/>
        </w:rPr>
        <w:t>坚持以习近平新时代中国特色社会主义思想为统领，坚定政治信仰，强化政治领导，始终坚持社会主义办学方向。把习近平新时代中国特色社会主义思想作为党员、干部学习教育培训的中心内容，严格落实意识形态工作责任制，扎实守好网络意识形态阵地，牢牢把握党对学校意识形态工作的领导权、管理权和话语权。</w:t>
      </w:r>
    </w:p>
    <w:p>
      <w:pPr>
        <w:ind w:firstLine="643"/>
        <w:rPr>
          <w:rFonts w:hint="default" w:ascii="Times New Roman" w:hAnsi="Times New Roman" w:cs="Times New Roman"/>
          <w:kern w:val="0"/>
        </w:rPr>
      </w:pPr>
      <w:r>
        <w:rPr>
          <w:rFonts w:hint="default" w:ascii="Times New Roman" w:hAnsi="Times New Roman" w:cs="Times New Roman"/>
          <w:b/>
          <w:bCs/>
          <w:szCs w:val="36"/>
        </w:rPr>
        <w:t>2.</w:t>
      </w:r>
      <w:r>
        <w:rPr>
          <w:rFonts w:hint="eastAsia" w:cs="Times New Roman"/>
          <w:b/>
          <w:bCs/>
          <w:szCs w:val="36"/>
          <w:lang w:val="en-US" w:eastAsia="zh-CN"/>
        </w:rPr>
        <w:t xml:space="preserve"> </w:t>
      </w:r>
      <w:r>
        <w:rPr>
          <w:rFonts w:hint="default" w:ascii="Times New Roman" w:hAnsi="Times New Roman" w:cs="Times New Roman"/>
          <w:b/>
          <w:bCs/>
          <w:szCs w:val="36"/>
        </w:rPr>
        <w:t>强化基层组织建设。</w:t>
      </w:r>
      <w:r>
        <w:rPr>
          <w:rFonts w:hint="default" w:ascii="Times New Roman" w:hAnsi="Times New Roman" w:cs="Times New Roman"/>
          <w:kern w:val="0"/>
        </w:rPr>
        <w:t>全面推进党支部标准化规范化建设，认真落实“三会一课”、组织生活会、民主评议党员、谈心谈话等制度，开展基层党建“奋进新征程行动”，深化“特色支部”创建，在全区中小学选树一批基层党建样板项目、优秀案例和重点项目。坚持将政治标准放在首位，吸纳更多优秀青年教师到党组织中来。完善“选”“育”“管”“用”“评”全链条选人用人机制，探索采用委任制、聘任制相结合的方式，选优配强学校党政主要负责人，明确议事决策规则，在全区中小学校实施党组织领导的校长负责制。</w:t>
      </w:r>
    </w:p>
    <w:p>
      <w:pPr>
        <w:ind w:firstLine="643"/>
        <w:rPr>
          <w:rFonts w:hint="default" w:ascii="Times New Roman" w:hAnsi="Times New Roman" w:cs="Times New Roman"/>
        </w:rPr>
      </w:pPr>
      <w:r>
        <w:rPr>
          <w:rFonts w:hint="default" w:ascii="Times New Roman" w:hAnsi="Times New Roman" w:cs="Times New Roman"/>
          <w:b/>
          <w:bCs/>
          <w:szCs w:val="36"/>
        </w:rPr>
        <w:t>3.</w:t>
      </w:r>
      <w:r>
        <w:rPr>
          <w:rFonts w:hint="eastAsia" w:cs="Times New Roman"/>
          <w:b/>
          <w:bCs/>
          <w:szCs w:val="36"/>
          <w:lang w:val="en-US" w:eastAsia="zh-CN"/>
        </w:rPr>
        <w:t xml:space="preserve"> </w:t>
      </w:r>
      <w:r>
        <w:rPr>
          <w:rFonts w:hint="default" w:ascii="Times New Roman" w:hAnsi="Times New Roman" w:cs="Times New Roman"/>
          <w:b/>
          <w:bCs/>
          <w:szCs w:val="36"/>
        </w:rPr>
        <w:t>坚持全面从严治党。</w:t>
      </w:r>
      <w:r>
        <w:rPr>
          <w:rFonts w:hint="default" w:ascii="Times New Roman" w:hAnsi="Times New Roman" w:cs="Times New Roman"/>
          <w:kern w:val="0"/>
        </w:rPr>
        <w:t>坚持不懈用习近平新时代中国特色社会主义思想武装党员干部头脑，不断巩固深化“不忘初心、牢记使命”主题教育成果，锤炼广大党员教师忠诚干净担当的政治品格。压紧压实教育系统各级党组织全面从严治党主体责任，始终把纪律和规矩挺在前面，巩固拓展落实中央八项规定精神成果，持之以恒纠治“四风”，持续为学校减负松绑。紧盯“两长”等关键少数和教育领域人民群众重点关注的问题，加强廉洁风险防控，扎实做好警示教育，做细做实日常监督，强化源头预防治理，巩固和发展风清气正的良好政治生态和立德树人环境。</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（二）丰富各类资源，推动教育优先发展</w:t>
      </w:r>
    </w:p>
    <w:p>
      <w:pPr>
        <w:ind w:firstLine="643"/>
        <w:rPr>
          <w:rFonts w:hint="default" w:ascii="Times New Roman" w:hAnsi="Times New Roman" w:cs="Times New Roman"/>
        </w:rPr>
      </w:pPr>
      <w:r>
        <w:rPr>
          <w:rFonts w:hint="default" w:ascii="Times New Roman" w:hAnsi="Times New Roman" w:cs="Times New Roman"/>
          <w:b/>
          <w:bCs/>
          <w:szCs w:val="36"/>
        </w:rPr>
        <w:t>1.</w:t>
      </w:r>
      <w:r>
        <w:rPr>
          <w:rFonts w:hint="eastAsia" w:cs="Times New Roman"/>
          <w:b/>
          <w:bCs/>
          <w:szCs w:val="36"/>
          <w:lang w:val="en-US" w:eastAsia="zh-CN"/>
        </w:rPr>
        <w:t xml:space="preserve"> </w:t>
      </w:r>
      <w:r>
        <w:rPr>
          <w:rFonts w:hint="default" w:ascii="Times New Roman" w:hAnsi="Times New Roman" w:cs="Times New Roman"/>
          <w:b/>
          <w:bCs/>
          <w:szCs w:val="36"/>
        </w:rPr>
        <w:t>优化教育资源布局。</w:t>
      </w:r>
      <w:r>
        <w:rPr>
          <w:rFonts w:hint="default" w:ascii="Times New Roman" w:hAnsi="Times New Roman" w:cs="Times New Roman"/>
        </w:rPr>
        <w:t>根据教育资源需求预警报告和“更好的教育”专班要求，实施《天宁区“十四五”学校建设行动计划》，统筹各类学校建设项目，增强教育资源供给能力。到2025年，全区新建、改扩建</w:t>
      </w:r>
      <w:r>
        <w:rPr>
          <w:rFonts w:hint="default" w:ascii="Times New Roman" w:hAnsi="Times New Roman" w:cs="Times New Roman"/>
          <w:lang w:eastAsia="zh-CN"/>
        </w:rPr>
        <w:t>学校（幼儿园）</w:t>
      </w:r>
      <w:r>
        <w:rPr>
          <w:rFonts w:hint="default" w:ascii="Times New Roman" w:hAnsi="Times New Roman" w:cs="Times New Roman"/>
        </w:rPr>
        <w:t>40</w:t>
      </w:r>
      <w:r>
        <w:rPr>
          <w:rFonts w:hint="default" w:ascii="Times New Roman" w:hAnsi="Times New Roman" w:cs="Times New Roman"/>
          <w:lang w:eastAsia="zh-CN"/>
        </w:rPr>
        <w:t>所</w:t>
      </w:r>
      <w:r>
        <w:rPr>
          <w:rFonts w:hint="default" w:ascii="Times New Roman" w:hAnsi="Times New Roman" w:cs="Times New Roman"/>
        </w:rPr>
        <w:t>。促进城乡教育一体化发展，持续推进老城区学校改造，实施义务教育标准化建设，加快开发区、郑陆镇、兰陵街道等地区优质教育资源布局，增强教育发展动能。加快学前教育建设，完成小区配套幼儿园治理工作，力争到2022年学前教育占比达到每万人配置一所</w:t>
      </w:r>
      <w:r>
        <w:rPr>
          <w:rFonts w:hint="default" w:ascii="Times New Roman" w:hAnsi="Times New Roman" w:cs="Times New Roman"/>
          <w:lang w:eastAsia="zh-CN"/>
        </w:rPr>
        <w:t>的</w:t>
      </w:r>
      <w:r>
        <w:rPr>
          <w:rFonts w:hint="default" w:ascii="Times New Roman" w:hAnsi="Times New Roman" w:cs="Times New Roman"/>
        </w:rPr>
        <w:t>要求。</w:t>
      </w:r>
    </w:p>
    <w:p>
      <w:pPr>
        <w:ind w:firstLine="643"/>
        <w:rPr>
          <w:rFonts w:hint="default" w:ascii="Times New Roman" w:hAnsi="Times New Roman" w:cs="Times New Roman"/>
        </w:rPr>
      </w:pPr>
      <w:r>
        <w:rPr>
          <w:rFonts w:hint="default" w:ascii="Times New Roman" w:hAnsi="Times New Roman" w:cs="Times New Roman"/>
          <w:b/>
          <w:bCs/>
          <w:szCs w:val="36"/>
        </w:rPr>
        <w:t>2.</w:t>
      </w:r>
      <w:r>
        <w:rPr>
          <w:rFonts w:hint="eastAsia" w:cs="Times New Roman"/>
          <w:b/>
          <w:bCs/>
          <w:szCs w:val="36"/>
          <w:lang w:val="en-US" w:eastAsia="zh-CN"/>
        </w:rPr>
        <w:t xml:space="preserve"> </w:t>
      </w:r>
      <w:r>
        <w:rPr>
          <w:rFonts w:hint="default" w:ascii="Times New Roman" w:hAnsi="Times New Roman" w:cs="Times New Roman"/>
          <w:b/>
          <w:bCs/>
          <w:szCs w:val="36"/>
        </w:rPr>
        <w:t>提升学校装备水平。</w:t>
      </w:r>
      <w:r>
        <w:rPr>
          <w:rFonts w:hint="default" w:ascii="Times New Roman" w:hAnsi="Times New Roman" w:cs="Times New Roman"/>
        </w:rPr>
        <w:t>加大对教育教学设备、教室标准化建设、安防设施投入，积极推进义务教育学校标准化建设，促进学生个性化、学校特色化发展</w:t>
      </w:r>
      <w:r>
        <w:rPr>
          <w:rFonts w:hint="default" w:ascii="Times New Roman" w:hAnsi="Times New Roman" w:cs="Times New Roman"/>
          <w:lang w:eastAsia="zh-CN"/>
        </w:rPr>
        <w:t>。</w:t>
      </w:r>
      <w:r>
        <w:rPr>
          <w:rFonts w:hint="default" w:ascii="Times New Roman" w:hAnsi="Times New Roman" w:cs="Times New Roman"/>
        </w:rPr>
        <w:t>到2025年，中小学基本达《江苏省中小学教育技术装备标准》</w:t>
      </w:r>
      <w:r>
        <w:rPr>
          <w:rFonts w:hint="default" w:ascii="Times New Roman" w:hAnsi="Times New Roman" w:eastAsia="宋体" w:cs="Times New Roman"/>
        </w:rPr>
        <w:t>Ⅰ</w:t>
      </w:r>
      <w:r>
        <w:rPr>
          <w:rFonts w:hint="default" w:ascii="Times New Roman" w:hAnsi="Times New Roman" w:cs="Times New Roman"/>
        </w:rPr>
        <w:t>类标准，80%幼儿园达《江苏省幼儿园教育技术装备标准》</w:t>
      </w:r>
      <w:r>
        <w:rPr>
          <w:rFonts w:hint="default" w:ascii="Times New Roman" w:hAnsi="Times New Roman" w:eastAsia="宋体" w:cs="Times New Roman"/>
        </w:rPr>
        <w:t>Ⅰ</w:t>
      </w:r>
      <w:r>
        <w:rPr>
          <w:rFonts w:hint="default" w:ascii="Times New Roman" w:hAnsi="Times New Roman" w:cs="Times New Roman"/>
        </w:rPr>
        <w:t>类标准。探索基于数字化、人工智能、数据分析等融合信息技术的教学新模式和智能治理，中小学常态化开展数字化教学，形成一批具有前瞻性、示范性的学校。加强基于云服务的天宁教育公共服务平台建设，丰富数字化教育资源。</w:t>
      </w:r>
    </w:p>
    <w:p>
      <w:pPr>
        <w:ind w:firstLine="643"/>
        <w:rPr>
          <w:rFonts w:hint="default" w:ascii="Times New Roman" w:hAnsi="Times New Roman" w:cs="Times New Roman"/>
        </w:rPr>
      </w:pPr>
      <w:r>
        <w:rPr>
          <w:rFonts w:hint="default" w:ascii="Times New Roman" w:hAnsi="Times New Roman" w:cs="Times New Roman"/>
          <w:b/>
          <w:bCs/>
          <w:szCs w:val="36"/>
        </w:rPr>
        <w:t>3.</w:t>
      </w:r>
      <w:r>
        <w:rPr>
          <w:rFonts w:hint="eastAsia" w:cs="Times New Roman"/>
          <w:b/>
          <w:bCs/>
          <w:szCs w:val="36"/>
          <w:lang w:val="en-US" w:eastAsia="zh-CN"/>
        </w:rPr>
        <w:t xml:space="preserve"> </w:t>
      </w:r>
      <w:r>
        <w:rPr>
          <w:rFonts w:hint="default" w:ascii="Times New Roman" w:hAnsi="Times New Roman" w:cs="Times New Roman"/>
          <w:b/>
          <w:bCs/>
          <w:szCs w:val="36"/>
        </w:rPr>
        <w:t>加大教育经费投入。</w:t>
      </w:r>
      <w:r>
        <w:rPr>
          <w:rFonts w:hint="default" w:ascii="Times New Roman" w:hAnsi="Times New Roman" w:cs="Times New Roman"/>
        </w:rPr>
        <w:t>全面落实教育优先发展战略，按照“三个优先”和两个“只增不减”要求，保障教育经费。坚持“保基本、补短板、促公平、提质量”原则，优化教育经费支出结构，进一步向薄弱学校、薄弱环节和改革发展重难点问题倾斜。加大学前教育投入，稳步增长学前教育生均公用经费。健全义务教育经费保障机制，义务教育生均公用经费财政拨款标准高于省定标准20%。超额保障特殊教育和对家庭经济困难学生资助，确保义务教育优质均衡发展。提高编内教师、员额制教师待遇。用好树人教育基金会，经费使用规范、安全、有效。严格执行教育审计制度，提高审计结果运用的有效性。</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（三）</w:t>
      </w:r>
      <w:r>
        <w:rPr>
          <w:rFonts w:hint="default" w:ascii="Times New Roman" w:hAnsi="Times New Roman" w:eastAsia="方正楷体_GBK" w:cs="Times New Roman"/>
          <w:bCs/>
          <w:szCs w:val="32"/>
          <w:lang w:eastAsia="zh-CN"/>
        </w:rPr>
        <w:t>坚持</w:t>
      </w:r>
      <w:r>
        <w:rPr>
          <w:rFonts w:hint="default" w:ascii="Times New Roman" w:hAnsi="Times New Roman" w:eastAsia="方正楷体_GBK" w:cs="Times New Roman"/>
          <w:bCs/>
          <w:szCs w:val="32"/>
        </w:rPr>
        <w:t>公平优质，各类教育协调发展</w:t>
      </w:r>
    </w:p>
    <w:p>
      <w:pPr>
        <w:ind w:firstLine="643"/>
        <w:rPr>
          <w:rFonts w:hint="default" w:ascii="Times New Roman" w:hAnsi="Times New Roman" w:eastAsia="方正楷体_GBK" w:cs="Times New Roman"/>
          <w:b/>
          <w:bCs/>
          <w:szCs w:val="36"/>
        </w:rPr>
      </w:pPr>
      <w:r>
        <w:rPr>
          <w:rFonts w:hint="default" w:ascii="Times New Roman" w:hAnsi="Times New Roman" w:cs="Times New Roman"/>
          <w:b/>
          <w:bCs/>
          <w:szCs w:val="36"/>
        </w:rPr>
        <w:t>1.</w:t>
      </w:r>
      <w:r>
        <w:rPr>
          <w:rFonts w:hint="eastAsia" w:cs="Times New Roman"/>
          <w:b/>
          <w:bCs/>
          <w:szCs w:val="36"/>
          <w:lang w:val="en-US" w:eastAsia="zh-CN"/>
        </w:rPr>
        <w:t xml:space="preserve"> </w:t>
      </w:r>
      <w:r>
        <w:rPr>
          <w:rFonts w:hint="default" w:ascii="Times New Roman" w:hAnsi="Times New Roman" w:cs="Times New Roman"/>
          <w:b/>
          <w:bCs/>
          <w:szCs w:val="36"/>
        </w:rPr>
        <w:t>发展普及普惠的学前教育。</w:t>
      </w:r>
      <w:r>
        <w:rPr>
          <w:rFonts w:hint="default" w:ascii="Times New Roman" w:hAnsi="Times New Roman" w:cs="Times New Roman"/>
        </w:rPr>
        <w:t>深入实施学前教育管理体制机制改革，大力发展公办幼儿园，加大对普惠性民办幼儿园的扶持和管理，形成公办幼儿园与普惠性民办幼儿园为主体的学前教育公共服务体系。深化集团化办园，进一步扩大优质资源覆盖面。加强科学保教，积极开展“课程游戏化项目”建设，实施课程游戏化区域推进覆盖率100%。以新一轮幼儿园主动发展项目研究为抓手，创设多层次研究平台，加强学前教育教研力量，助推幼儿园主动发展。大力建设普惠、安全托幼一体的托育服务体系，着力增加2-3岁婴幼儿普惠性托育服务资源供给。</w:t>
      </w:r>
    </w:p>
    <w:p>
      <w:pPr>
        <w:ind w:firstLine="643"/>
        <w:rPr>
          <w:rFonts w:hint="default" w:ascii="Times New Roman" w:hAnsi="Times New Roman" w:cs="Times New Roman"/>
        </w:rPr>
      </w:pPr>
      <w:r>
        <w:rPr>
          <w:rFonts w:hint="default" w:ascii="Times New Roman" w:hAnsi="Times New Roman" w:cs="Times New Roman"/>
          <w:b/>
          <w:bCs/>
          <w:szCs w:val="36"/>
        </w:rPr>
        <w:t>2.</w:t>
      </w:r>
      <w:r>
        <w:rPr>
          <w:rFonts w:hint="eastAsia" w:cs="Times New Roman"/>
          <w:b/>
          <w:bCs/>
          <w:szCs w:val="36"/>
          <w:lang w:val="en-US" w:eastAsia="zh-CN"/>
        </w:rPr>
        <w:t xml:space="preserve"> </w:t>
      </w:r>
      <w:r>
        <w:rPr>
          <w:rFonts w:hint="default" w:ascii="Times New Roman" w:hAnsi="Times New Roman" w:cs="Times New Roman"/>
          <w:b/>
          <w:bCs/>
          <w:szCs w:val="36"/>
        </w:rPr>
        <w:t>推进优质均衡的基础教育。</w:t>
      </w:r>
      <w:r>
        <w:rPr>
          <w:rFonts w:hint="default" w:ascii="Times New Roman" w:hAnsi="Times New Roman" w:cs="Times New Roman"/>
        </w:rPr>
        <w:t>深化集团化办学，推进集团化办学2.0</w:t>
      </w:r>
      <w:r>
        <w:rPr>
          <w:rFonts w:hint="default" w:ascii="Times New Roman" w:hAnsi="Times New Roman" w:cs="Times New Roman"/>
          <w:lang w:eastAsia="zh-CN"/>
        </w:rPr>
        <w:t>版本</w:t>
      </w:r>
      <w:r>
        <w:rPr>
          <w:rFonts w:hint="default" w:ascii="Times New Roman" w:hAnsi="Times New Roman" w:cs="Times New Roman"/>
        </w:rPr>
        <w:t>，扩大优质教育资源覆盖面，通过办学理念、课程教学、管理模式、优质资源等全面共享，形成集团化办学多元发展模式。大力振兴乡村教育，研制城乡学校携手共进计划，推进城区学校校长、教师到农村学校或城区薄弱学校任职任教，加快城乡教育一体化进程。全面促进教育公平，确保符合相关入学政策的外来务工人员随迁子女公办学校全吸纳，阳光招生，均衡编班，因材施教。积极建设常州市义务教育“新优质学校”，促进新优质学校集群式发展。完善特殊教育体系，加快融合教育资源中心建设，逐步构建以特殊教育学校引领，随班就读为主体，送教上门、远程教学为补充的特殊教育发展格局。理顺“公参民”义务教育学校体制机制，进一步规范民办义务教育发展。</w:t>
      </w:r>
    </w:p>
    <w:p>
      <w:pPr>
        <w:ind w:firstLine="643"/>
        <w:rPr>
          <w:rFonts w:hint="default" w:ascii="Times New Roman" w:hAnsi="Times New Roman" w:eastAsia="方正仿宋_GB2312" w:cs="Times New Roman"/>
          <w:b/>
          <w:bCs/>
        </w:rPr>
      </w:pPr>
      <w:r>
        <w:rPr>
          <w:rFonts w:hint="default" w:ascii="Times New Roman" w:hAnsi="Times New Roman" w:cs="Times New Roman"/>
          <w:b/>
          <w:bCs/>
          <w:szCs w:val="36"/>
        </w:rPr>
        <w:t>3.</w:t>
      </w:r>
      <w:r>
        <w:rPr>
          <w:rFonts w:hint="eastAsia" w:cs="Times New Roman"/>
          <w:b/>
          <w:bCs/>
          <w:szCs w:val="36"/>
          <w:lang w:val="en-US" w:eastAsia="zh-CN"/>
        </w:rPr>
        <w:t xml:space="preserve"> </w:t>
      </w:r>
      <w:r>
        <w:rPr>
          <w:rFonts w:hint="default" w:ascii="Times New Roman" w:hAnsi="Times New Roman" w:cs="Times New Roman"/>
          <w:b/>
          <w:bCs/>
          <w:szCs w:val="36"/>
        </w:rPr>
        <w:t>构建开放融通的终身教育。</w:t>
      </w:r>
      <w:r>
        <w:rPr>
          <w:rFonts w:hint="default" w:ascii="Times New Roman" w:hAnsi="Times New Roman" w:cs="Times New Roman"/>
        </w:rPr>
        <w:t>强化终身学习思想，发挥互联网+、人工智能和大数据优势，健全终身学习服务体系和继续教育网络。探索线上自主学习和线下体验学习相结合的教育模式，大力推广移动学习、体验式学习。完善“社区教育+”模式，将社区教育与基地、企业、社团、景点等有机结合，争创一批省级、市级社区教育特色品牌。创新城乡社区教育，形成一批优质课程。充分发挥区老年大学的引领作用，推进各级老年大学资源共建共享，将优质老年教育资源送到老年人家门口。</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（四）落实立德树人，促进学生全面成长</w:t>
      </w:r>
    </w:p>
    <w:p>
      <w:pPr>
        <w:ind w:firstLine="643"/>
        <w:rPr>
          <w:rFonts w:hint="default" w:ascii="Times New Roman" w:hAnsi="Times New Roman" w:cs="Times New Roman"/>
        </w:rPr>
      </w:pPr>
      <w:r>
        <w:rPr>
          <w:rFonts w:hint="default" w:ascii="Times New Roman" w:hAnsi="Times New Roman" w:cs="Times New Roman"/>
          <w:b/>
          <w:bCs/>
          <w:szCs w:val="36"/>
        </w:rPr>
        <w:t>1.</w:t>
      </w:r>
      <w:r>
        <w:rPr>
          <w:rFonts w:hint="eastAsia" w:cs="Times New Roman"/>
          <w:b/>
          <w:bCs/>
          <w:szCs w:val="36"/>
          <w:lang w:val="en-US" w:eastAsia="zh-CN"/>
        </w:rPr>
        <w:t xml:space="preserve"> </w:t>
      </w:r>
      <w:r>
        <w:rPr>
          <w:rFonts w:hint="default" w:ascii="Times New Roman" w:hAnsi="Times New Roman" w:cs="Times New Roman"/>
          <w:b/>
          <w:bCs/>
          <w:szCs w:val="36"/>
        </w:rPr>
        <w:t>完善育人机制。</w:t>
      </w:r>
      <w:r>
        <w:rPr>
          <w:rFonts w:hint="default" w:ascii="Times New Roman" w:hAnsi="Times New Roman" w:cs="Times New Roman"/>
        </w:rPr>
        <w:t>落实立德树人根本任务，深入践行社会主义核心价值观融入教育全过程。构建</w:t>
      </w:r>
      <w:r>
        <w:rPr>
          <w:rFonts w:hint="default" w:ascii="Times New Roman" w:hAnsi="Times New Roman" w:cs="Times New Roman"/>
          <w:highlight w:val="none"/>
        </w:rPr>
        <w:t>大中</w:t>
      </w:r>
      <w:r>
        <w:rPr>
          <w:rFonts w:hint="default" w:ascii="Times New Roman" w:hAnsi="Times New Roman" w:cs="Times New Roman"/>
        </w:rPr>
        <w:t>小幼纵向衔接、横向贯通、载体多元、螺旋上升的德育课程体系，培育一批师德高尚、实绩突出、学生喜爱、同伴认可、家长欢迎的班主任和德育工作者。推进大中小思政课一体化联盟建设工作，充分发挥课堂教学主渠道作用和各学科的育人功能，加强课程思政和思政课程建设。研究德育校本课程的开发和实施路径，提高德育工作成效。推进中小学品格提升工程，加强爱国主义和中华优秀传统文化教育。完善关工委工作机制，推动关心下一代工作高质量发展。</w:t>
      </w:r>
    </w:p>
    <w:p>
      <w:pPr>
        <w:ind w:firstLine="643"/>
        <w:rPr>
          <w:rFonts w:hint="default" w:ascii="Times New Roman" w:hAnsi="Times New Roman" w:cs="Times New Roman"/>
        </w:rPr>
      </w:pPr>
      <w:r>
        <w:rPr>
          <w:rFonts w:hint="default" w:ascii="Times New Roman" w:hAnsi="Times New Roman" w:cs="Times New Roman"/>
          <w:b/>
          <w:bCs/>
          <w:szCs w:val="36"/>
        </w:rPr>
        <w:t>2.</w:t>
      </w:r>
      <w:r>
        <w:rPr>
          <w:rFonts w:hint="eastAsia" w:cs="Times New Roman"/>
          <w:b/>
          <w:bCs/>
          <w:szCs w:val="36"/>
          <w:lang w:val="en-US" w:eastAsia="zh-CN"/>
        </w:rPr>
        <w:t xml:space="preserve"> </w:t>
      </w:r>
      <w:r>
        <w:rPr>
          <w:rFonts w:hint="default" w:ascii="Times New Roman" w:hAnsi="Times New Roman" w:cs="Times New Roman"/>
          <w:b/>
          <w:bCs/>
          <w:szCs w:val="36"/>
        </w:rPr>
        <w:t>健全五育并举。</w:t>
      </w:r>
      <w:r>
        <w:rPr>
          <w:rFonts w:hint="default" w:ascii="Times New Roman" w:hAnsi="Times New Roman" w:cs="Times New Roman"/>
        </w:rPr>
        <w:t>探索课堂教学、学校生活和社会实践五育融合新路径，创新学科融合的思路和方法，提高课程实施的能力和水平，培养德智体美劳全面发展的社会主义建设者和接班人。加强儿童青少年近视综合防控体系建设，每年开展2次视力筛查，全区100%儿童青少年建立视力健康电子档案。持续推进身心健康工程，全面落实每天运动一小时，每位学生至少掌握两项体育技能、一项艺术技能，每年至少掌握一项劳动技能。重视心理健康教育，健全学校家庭社会协同育人机制，发挥好区未成年人成长指导中心作用，优化育人环境，推进“STP”项目，构建“同心”家校社合作圈。</w:t>
      </w:r>
    </w:p>
    <w:p>
      <w:pPr>
        <w:ind w:firstLine="643"/>
        <w:rPr>
          <w:rFonts w:hint="default" w:ascii="Times New Roman" w:hAnsi="Times New Roman" w:cs="Times New Roman"/>
        </w:rPr>
      </w:pPr>
      <w:r>
        <w:rPr>
          <w:rFonts w:hint="default" w:ascii="Times New Roman" w:hAnsi="Times New Roman" w:cs="Times New Roman"/>
          <w:b/>
          <w:bCs/>
          <w:szCs w:val="36"/>
        </w:rPr>
        <w:t>3.</w:t>
      </w:r>
      <w:r>
        <w:rPr>
          <w:rFonts w:hint="eastAsia" w:cs="Times New Roman"/>
          <w:b/>
          <w:bCs/>
          <w:szCs w:val="36"/>
          <w:lang w:val="en-US" w:eastAsia="zh-CN"/>
        </w:rPr>
        <w:t xml:space="preserve"> </w:t>
      </w:r>
      <w:r>
        <w:rPr>
          <w:rFonts w:hint="default" w:ascii="Times New Roman" w:hAnsi="Times New Roman" w:cs="Times New Roman"/>
          <w:b/>
          <w:bCs/>
          <w:szCs w:val="36"/>
        </w:rPr>
        <w:t>丰富</w:t>
      </w:r>
      <w:r>
        <w:rPr>
          <w:rFonts w:hint="default" w:ascii="Times New Roman" w:hAnsi="Times New Roman" w:cs="Times New Roman"/>
          <w:b/>
          <w:bCs/>
          <w:szCs w:val="36"/>
          <w:lang w:eastAsia="zh-CN"/>
        </w:rPr>
        <w:t>校园</w:t>
      </w:r>
      <w:r>
        <w:rPr>
          <w:rFonts w:hint="default" w:ascii="Times New Roman" w:hAnsi="Times New Roman" w:cs="Times New Roman"/>
          <w:b/>
          <w:bCs/>
          <w:szCs w:val="36"/>
        </w:rPr>
        <w:t>生活。</w:t>
      </w:r>
      <w:r>
        <w:rPr>
          <w:rFonts w:hint="default" w:ascii="Times New Roman" w:hAnsi="Times New Roman" w:cs="Times New Roman"/>
        </w:rPr>
        <w:t>加强班级文化建设与研究，创新班级文化建设方式，增强校园文化吸引力。探索美育、劳育、食育系统化课程体系，增强劳动实践育人功效，建设有特色的劳动实践教育基地。普及食育教育，推进食育基地建设，培养健康生活习惯。开展阅读推广活动，培育一批体育特色、艺术教育精品项目，开展丰富多彩的社团活动和艺术节展演。支持学校开展科技教育，开设创客课程、STEM课程和科技节活动。树立科学教育理念，实施好“双减”和“5+2”课后延时服务，</w:t>
      </w:r>
      <w:r>
        <w:rPr>
          <w:rFonts w:hint="default" w:ascii="Times New Roman" w:hAnsi="Times New Roman" w:cs="Times New Roman"/>
          <w:kern w:val="0"/>
        </w:rPr>
        <w:t>全面压减作业总量和时长，创新课后服务模式，强化</w:t>
      </w:r>
      <w:r>
        <w:rPr>
          <w:rFonts w:hint="default" w:ascii="Times New Roman" w:hAnsi="Times New Roman" w:cs="Times New Roman"/>
        </w:rPr>
        <w:t>校外培训机构治理。加强中小学学生作业、睡眠、手机、读物、体质管理，</w:t>
      </w:r>
      <w:r>
        <w:rPr>
          <w:rFonts w:hint="default" w:ascii="Times New Roman" w:hAnsi="Times New Roman" w:cs="Times New Roman"/>
          <w:kern w:val="0"/>
        </w:rPr>
        <w:t>切实减轻学生过重的课业负担</w:t>
      </w:r>
      <w:r>
        <w:rPr>
          <w:rFonts w:hint="default" w:ascii="Times New Roman" w:hAnsi="Times New Roman" w:cs="Times New Roman"/>
        </w:rPr>
        <w:t>。</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（五）深化改革创新，激发教育发展活力</w:t>
      </w:r>
    </w:p>
    <w:p>
      <w:pPr>
        <w:ind w:firstLine="643"/>
        <w:rPr>
          <w:rFonts w:hint="default" w:ascii="Times New Roman" w:hAnsi="Times New Roman" w:cs="Times New Roman"/>
        </w:rPr>
      </w:pPr>
      <w:r>
        <w:rPr>
          <w:rFonts w:hint="default" w:ascii="Times New Roman" w:hAnsi="Times New Roman" w:cs="Times New Roman"/>
          <w:b/>
          <w:bCs/>
          <w:szCs w:val="36"/>
        </w:rPr>
        <w:t>1.</w:t>
      </w:r>
      <w:r>
        <w:rPr>
          <w:rFonts w:hint="eastAsia" w:cs="Times New Roman"/>
          <w:b/>
          <w:bCs/>
          <w:szCs w:val="36"/>
          <w:lang w:val="en-US" w:eastAsia="zh-CN"/>
        </w:rPr>
        <w:t xml:space="preserve"> </w:t>
      </w:r>
      <w:r>
        <w:rPr>
          <w:rFonts w:hint="default" w:ascii="Times New Roman" w:hAnsi="Times New Roman" w:cs="Times New Roman"/>
          <w:b/>
          <w:bCs/>
          <w:szCs w:val="36"/>
        </w:rPr>
        <w:t>推进基础教育综合改革。</w:t>
      </w:r>
      <w:r>
        <w:rPr>
          <w:rFonts w:hint="default" w:ascii="Times New Roman" w:hAnsi="Times New Roman" w:cs="Times New Roman"/>
        </w:rPr>
        <w:t>积极创建省市级内涵建设项目，大力推进教学改革行动，分享“新基础”教育实验成果，全面提升区域课程实施质量。深化“区域联动推进学科育人的‘新教学’”项目研究，努力构建新课程背景下的新教学样态，引领区域教育高位发展。探索构建课程、课堂、课题“三课联动”的研究体系，形成跨区域、全方位、交互性、立体式优课教研机制。聘请全国知名课程教学领域专家，打造</w:t>
      </w:r>
      <w:r>
        <w:rPr>
          <w:rFonts w:hint="default" w:ascii="Times New Roman" w:hAnsi="Times New Roman" w:cs="Times New Roman"/>
          <w:lang w:eastAsia="zh-CN"/>
        </w:rPr>
        <w:t>以</w:t>
      </w:r>
      <w:r>
        <w:rPr>
          <w:rFonts w:hint="default" w:ascii="Times New Roman" w:hAnsi="Times New Roman" w:cs="Times New Roman"/>
        </w:rPr>
        <w:t>区教师发展中心为核心的全区基础教育教学研究中心</w:t>
      </w:r>
      <w:r>
        <w:rPr>
          <w:rFonts w:hint="default" w:ascii="Times New Roman" w:hAnsi="Times New Roman" w:cs="Times New Roman"/>
          <w:lang w:eastAsia="zh-CN"/>
        </w:rPr>
        <w:t>，为教育优质均衡发展提供智力保障</w:t>
      </w:r>
      <w:r>
        <w:rPr>
          <w:rFonts w:hint="default" w:ascii="Times New Roman" w:hAnsi="Times New Roman" w:cs="Times New Roman"/>
        </w:rPr>
        <w:t>。推进主题式项目学习等融合课程实施，研究一批有重大影响的教学成果，力争实现教学成果奖层次和数量“双提升”。</w:t>
      </w:r>
    </w:p>
    <w:p>
      <w:pPr>
        <w:ind w:firstLine="643"/>
        <w:rPr>
          <w:rStyle w:val="13"/>
          <w:rFonts w:hint="default" w:ascii="Times New Roman" w:hAnsi="Times New Roman" w:eastAsia="仿宋_GB2312" w:cs="Times New Roman"/>
          <w:b w:val="0"/>
          <w:spacing w:val="12"/>
          <w:szCs w:val="32"/>
        </w:rPr>
      </w:pPr>
      <w:r>
        <w:rPr>
          <w:rFonts w:hint="default" w:ascii="Times New Roman" w:hAnsi="Times New Roman" w:cs="Times New Roman"/>
          <w:b/>
          <w:bCs/>
          <w:szCs w:val="36"/>
        </w:rPr>
        <w:t>2.</w:t>
      </w:r>
      <w:r>
        <w:rPr>
          <w:rFonts w:hint="eastAsia" w:cs="Times New Roman"/>
          <w:b/>
          <w:bCs/>
          <w:szCs w:val="36"/>
          <w:lang w:val="en-US" w:eastAsia="zh-CN"/>
        </w:rPr>
        <w:t xml:space="preserve"> </w:t>
      </w:r>
      <w:r>
        <w:rPr>
          <w:rFonts w:hint="default" w:ascii="Times New Roman" w:hAnsi="Times New Roman" w:cs="Times New Roman"/>
          <w:b/>
          <w:bCs/>
          <w:szCs w:val="36"/>
        </w:rPr>
        <w:t>探索教育教学评价改革。</w:t>
      </w:r>
      <w:r>
        <w:rPr>
          <w:rFonts w:hint="default" w:ascii="Times New Roman" w:hAnsi="Times New Roman" w:cs="Times New Roman"/>
        </w:rPr>
        <w:t>遵循教育规律，</w:t>
      </w:r>
      <w:r>
        <w:rPr>
          <w:rFonts w:hint="default" w:ascii="Times New Roman" w:hAnsi="Times New Roman" w:cs="Times New Roman"/>
          <w:kern w:val="0"/>
        </w:rPr>
        <w:t>创新评价体系，</w:t>
      </w:r>
      <w:r>
        <w:rPr>
          <w:rStyle w:val="13"/>
          <w:rFonts w:hint="default" w:ascii="Times New Roman" w:hAnsi="Times New Roman" w:eastAsia="仿宋_GB2312" w:cs="Times New Roman"/>
          <w:b w:val="0"/>
          <w:spacing w:val="12"/>
          <w:szCs w:val="32"/>
        </w:rPr>
        <w:t>系统推进学校、教师、学生等关键领域评价改革，</w:t>
      </w:r>
      <w:r>
        <w:rPr>
          <w:rFonts w:hint="default" w:ascii="Times New Roman" w:hAnsi="Times New Roman" w:cs="Times New Roman"/>
          <w:kern w:val="0"/>
        </w:rPr>
        <w:t>建立和健全科学、多元的教育评价体系，构建政府、学校、家长、社会各方面参与的教育质量评价机制。深化教育“放管服”改革，持续推进学校主动发展，激发学校办学活力。切实加强课程实施监督，指导学校形成教学管理特色，完善学生综合素质评价制度，健全基于核心素养的教育教学评价制度和教育质量监测评估体系。加快“AI+大数据”智慧评价体系建设与研究，采用大数据、云平台以及5G技术等信息化手段为学生、教师、学校和区域建立“数字画像”。</w:t>
      </w:r>
    </w:p>
    <w:p>
      <w:pPr>
        <w:ind w:firstLine="643"/>
        <w:rPr>
          <w:rFonts w:hint="default" w:ascii="Times New Roman" w:hAnsi="Times New Roman" w:eastAsia="方正楷体_GBK" w:cs="Times New Roman"/>
          <w:b/>
          <w:bCs/>
          <w:szCs w:val="36"/>
        </w:rPr>
      </w:pPr>
      <w:r>
        <w:rPr>
          <w:rFonts w:hint="default" w:ascii="Times New Roman" w:hAnsi="Times New Roman" w:cs="Times New Roman"/>
          <w:b/>
          <w:bCs/>
          <w:szCs w:val="36"/>
        </w:rPr>
        <w:t>3.</w:t>
      </w:r>
      <w:r>
        <w:rPr>
          <w:rFonts w:hint="eastAsia" w:cs="Times New Roman"/>
          <w:b/>
          <w:bCs/>
          <w:szCs w:val="36"/>
          <w:lang w:val="en-US" w:eastAsia="zh-CN"/>
        </w:rPr>
        <w:t xml:space="preserve"> </w:t>
      </w:r>
      <w:r>
        <w:rPr>
          <w:rFonts w:hint="default" w:ascii="Times New Roman" w:hAnsi="Times New Roman" w:cs="Times New Roman"/>
          <w:b/>
          <w:bCs/>
          <w:szCs w:val="36"/>
        </w:rPr>
        <w:t>提升教育信息化水平。</w:t>
      </w:r>
      <w:r>
        <w:rPr>
          <w:rFonts w:hint="default" w:ascii="Times New Roman" w:hAnsi="Times New Roman" w:cs="Times New Roman"/>
        </w:rPr>
        <w:t>落实国家</w:t>
      </w:r>
      <w:r>
        <w:rPr>
          <w:rFonts w:hint="default" w:ascii="Times New Roman" w:hAnsi="Times New Roman" w:cs="Times New Roman"/>
          <w:lang w:eastAsia="zh-CN"/>
        </w:rPr>
        <w:t>“</w:t>
      </w:r>
      <w:r>
        <w:rPr>
          <w:rFonts w:hint="default" w:ascii="Times New Roman" w:hAnsi="Times New Roman" w:cs="Times New Roman"/>
        </w:rPr>
        <w:t>互联网+</w:t>
      </w:r>
      <w:r>
        <w:rPr>
          <w:rFonts w:hint="default" w:ascii="Times New Roman" w:hAnsi="Times New Roman" w:cs="Times New Roman"/>
          <w:lang w:eastAsia="zh-CN"/>
        </w:rPr>
        <w:t>”</w:t>
      </w:r>
      <w:r>
        <w:rPr>
          <w:rFonts w:hint="default" w:ascii="Times New Roman" w:hAnsi="Times New Roman" w:cs="Times New Roman"/>
        </w:rPr>
        <w:t>、大数据、新一代人工智能、教育信息化2.0行动，以“深化应用、融合创新”为核心，加快信息化与学校教育、教学管理深度融合。到2025年，完成基本满足应用需求的信息化环境建设，创新信息化项目申报制度，推进“1+X”的教育信息化工作天宁模式，实现“三个全覆盖”。巩固和发展“‘互联网+’时代课堂教学范式研究”项目的研究成果，推进项目成果常态化、普适性应用，完成江苏省基础教育内涵发展推广和培育项目任务。普遍提高师生信息化应用水平和素养，形成一批信息化骨干教师和名师工作室，初步建成“天宁教育公共服务大平台”，促进信息资源共建共享。</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（六）提升专业素养，锻造教育人才队伍</w:t>
      </w:r>
    </w:p>
    <w:p>
      <w:pPr>
        <w:ind w:firstLine="643"/>
        <w:rPr>
          <w:rFonts w:hint="default" w:ascii="Times New Roman" w:hAnsi="Times New Roman" w:cs="Times New Roman"/>
        </w:rPr>
      </w:pPr>
      <w:r>
        <w:rPr>
          <w:rFonts w:hint="default" w:ascii="Times New Roman" w:hAnsi="Times New Roman" w:cs="Times New Roman"/>
          <w:b/>
          <w:bCs/>
          <w:szCs w:val="36"/>
        </w:rPr>
        <w:t>1.</w:t>
      </w:r>
      <w:r>
        <w:rPr>
          <w:rFonts w:hint="eastAsia" w:cs="Times New Roman"/>
          <w:b/>
          <w:bCs/>
          <w:szCs w:val="36"/>
          <w:lang w:val="en-US" w:eastAsia="zh-CN"/>
        </w:rPr>
        <w:t xml:space="preserve"> </w:t>
      </w:r>
      <w:r>
        <w:rPr>
          <w:rFonts w:hint="default" w:ascii="Times New Roman" w:hAnsi="Times New Roman" w:cs="Times New Roman"/>
          <w:b/>
          <w:bCs/>
          <w:szCs w:val="36"/>
        </w:rPr>
        <w:t>加强师德师风建设。</w:t>
      </w:r>
      <w:r>
        <w:rPr>
          <w:rFonts w:hint="default" w:ascii="Times New Roman" w:hAnsi="Times New Roman" w:cs="Times New Roman"/>
          <w:bCs/>
          <w:szCs w:val="36"/>
        </w:rPr>
        <w:t>坚</w:t>
      </w:r>
      <w:r>
        <w:rPr>
          <w:rFonts w:hint="default" w:ascii="Times New Roman" w:hAnsi="Times New Roman" w:cs="Times New Roman"/>
        </w:rPr>
        <w:t>持把教师队伍作为教育事业的重要基石，不断浓厚尊师重教的社会氛围。坚持师德为先，全面推动师德师风建设常态化、长效化。强化师德师风评价导向，把师德师风作为评价教师队伍素质的第一标准。践行教师职业行为准则，推进“四有”好教师团队建设。完善师德监督机制，形成学校、教师、家长、学生、社会“五位一体”的师德师风监督网络。健全教师个人信用记录和诚信承诺、失信惩戒机制，将治理师德师风纳入专项督导和责任督学挂牌督导范畴。大力培育、广泛宣传师德典型。</w:t>
      </w:r>
    </w:p>
    <w:p>
      <w:pPr>
        <w:ind w:firstLine="643"/>
        <w:rPr>
          <w:rFonts w:hint="default" w:ascii="Times New Roman" w:hAnsi="Times New Roman" w:cs="Times New Roman"/>
        </w:rPr>
      </w:pPr>
      <w:r>
        <w:rPr>
          <w:rFonts w:hint="default" w:ascii="Times New Roman" w:hAnsi="Times New Roman" w:cs="Times New Roman"/>
          <w:b/>
          <w:bCs/>
          <w:szCs w:val="36"/>
        </w:rPr>
        <w:t>2.</w:t>
      </w:r>
      <w:r>
        <w:rPr>
          <w:rFonts w:hint="eastAsia" w:cs="Times New Roman"/>
          <w:b/>
          <w:bCs/>
          <w:szCs w:val="36"/>
          <w:lang w:val="en-US" w:eastAsia="zh-CN"/>
        </w:rPr>
        <w:t xml:space="preserve"> </w:t>
      </w:r>
      <w:r>
        <w:rPr>
          <w:rFonts w:hint="default" w:ascii="Times New Roman" w:hAnsi="Times New Roman" w:cs="Times New Roman"/>
          <w:b/>
          <w:bCs/>
          <w:szCs w:val="36"/>
        </w:rPr>
        <w:t>完善教师队伍管理。</w:t>
      </w:r>
      <w:r>
        <w:rPr>
          <w:rFonts w:hint="default" w:ascii="Times New Roman" w:hAnsi="Times New Roman" w:cs="Times New Roman"/>
        </w:rPr>
        <w:t>优化教师资源配置，合理核定公办中小学和幼儿园教师事业编制。创新教师管理方式，统筹推进“区管校聘”管理体制改革，规范按岗位购买服务使用教师管理。创新人才招录方式，拓展人才引进渠道，加大高层次人才引进力度。完善教师岗位管理，建立健全有效的竞争激励机制和能上能下、能进能出的用人机制。全力加强教师待遇保障，健全中小学教师与当地公务员工资收入增长长效联动机制，确保义务教育教师平均工资水平不低于当地公务员平均工资收入水平，统筹考虑学前教育教师工资待遇。切实减轻教师过重负担，积极探索中小学教师“弹性上下班”机制，保障教师身心健康。</w:t>
      </w:r>
    </w:p>
    <w:p>
      <w:pPr>
        <w:ind w:firstLine="643"/>
        <w:rPr>
          <w:rFonts w:hint="default" w:ascii="Times New Roman" w:hAnsi="Times New Roman" w:cs="Times New Roman"/>
        </w:rPr>
      </w:pPr>
      <w:r>
        <w:rPr>
          <w:rFonts w:hint="default" w:ascii="Times New Roman" w:hAnsi="Times New Roman" w:cs="Times New Roman"/>
          <w:b/>
          <w:bCs/>
          <w:szCs w:val="36"/>
        </w:rPr>
        <w:t>3.</w:t>
      </w:r>
      <w:r>
        <w:rPr>
          <w:rFonts w:hint="eastAsia" w:cs="Times New Roman"/>
          <w:b/>
          <w:bCs/>
          <w:szCs w:val="36"/>
          <w:lang w:val="en-US" w:eastAsia="zh-CN"/>
        </w:rPr>
        <w:t xml:space="preserve"> </w:t>
      </w:r>
      <w:r>
        <w:rPr>
          <w:rFonts w:hint="default" w:ascii="Times New Roman" w:hAnsi="Times New Roman" w:cs="Times New Roman"/>
          <w:b/>
          <w:bCs/>
          <w:szCs w:val="36"/>
        </w:rPr>
        <w:t>助推教师专业发展。</w:t>
      </w:r>
      <w:r>
        <w:rPr>
          <w:rFonts w:hint="default" w:ascii="Times New Roman" w:hAnsi="Times New Roman" w:cs="Times New Roman"/>
        </w:rPr>
        <w:t>深入实施“三名”工程，创新开展“四有”好教师团队建设，完善“五级梯队”优秀教师培养机制。加大教育高层次人才和名特优教师优惠政策支持力度，着力打造教育人才高地。完善教师全员培训体系，常态化开展教育教学基本功、优质课竞赛，不断提升教师队伍整体水平，促使五类教师的比例逐年提高。完善班主任培养机制，提高班主任专业化水平。持续实施乡村教师支持计划，积极开展优秀教师城乡牵手行动，加快乡村骨干教师培育站建设。</w:t>
      </w:r>
    </w:p>
    <w:p>
      <w:pPr>
        <w:ind w:firstLine="64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五、规划发展重点工程</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（一）党建品牌引领先锋工程</w:t>
      </w:r>
    </w:p>
    <w:p>
      <w:pPr>
        <w:ind w:firstLine="640"/>
        <w:rPr>
          <w:rFonts w:hint="default" w:ascii="Times New Roman" w:hAnsi="Times New Roman" w:cs="Times New Roman"/>
        </w:rPr>
      </w:pPr>
      <w:r>
        <w:rPr>
          <w:rFonts w:hint="default" w:ascii="Times New Roman" w:hAnsi="Times New Roman" w:cs="Times New Roman"/>
        </w:rPr>
        <w:t>深化“天宁星课堂”党建品牌，运用</w:t>
      </w:r>
      <w:r>
        <w:rPr>
          <w:rFonts w:hint="default" w:ascii="Times New Roman" w:hAnsi="Times New Roman" w:cs="Times New Roman"/>
          <w:lang w:eastAsia="zh-CN"/>
        </w:rPr>
        <w:t>“</w:t>
      </w:r>
      <w:r>
        <w:rPr>
          <w:rFonts w:hint="default" w:ascii="Times New Roman" w:hAnsi="Times New Roman" w:cs="Times New Roman"/>
        </w:rPr>
        <w:t>互联网+</w:t>
      </w:r>
      <w:r>
        <w:rPr>
          <w:rFonts w:hint="default" w:ascii="Times New Roman" w:hAnsi="Times New Roman" w:cs="Times New Roman"/>
          <w:lang w:eastAsia="zh-CN"/>
        </w:rPr>
        <w:t>”</w:t>
      </w:r>
      <w:r>
        <w:rPr>
          <w:rFonts w:hint="default" w:ascii="Times New Roman" w:hAnsi="Times New Roman" w:cs="Times New Roman"/>
        </w:rPr>
        <w:t>等方式，加大线上、线下活动的实效性和影响力</w:t>
      </w:r>
      <w:r>
        <w:rPr>
          <w:rFonts w:hint="default" w:ascii="Times New Roman" w:hAnsi="Times New Roman" w:cs="Times New Roman"/>
          <w:lang w:eastAsia="zh-CN"/>
        </w:rPr>
        <w:t>，</w:t>
      </w:r>
      <w:r>
        <w:rPr>
          <w:rFonts w:hint="default" w:ascii="Times New Roman" w:hAnsi="Times New Roman" w:cs="Times New Roman"/>
        </w:rPr>
        <w:t>到2025年，“红色教育星课堂”上线100期，“快乐志愿星课堂”开展200次。以“书记项目”为抓手，加强支部规范化、标准化、特色化建设。推进“先锋支部”“党建样板”创建，发挥基层党组织战斗堡垒作用，让党旗飘扬在教育改革一线。强化成果提炼，到2025年，创成20个市级及以上“一校一品”党建文化品牌。强化“1+5+N”片区管理模式，发挥基层党建合力，优势互补、资源共享，提升天宁教育系统党建整体水平。严把党员“入口关”，进一步建立健全把骨干教师培养成党员、把党员培养成教育教学骨干的党员发展“双培养”机制。强化党员思想教育，深入推进“党员教育3211工程”创建，形成一批可复制、可推广的党员教育阵地。启动新一轮党员轮训，采用专家讲座、实地走访等形式强化理想信念教育。加强高素质专业化干部队伍建设，扩大“天宁教育讲坛”干部培训品牌影响力，做好党组织书记培训、正职校园长培训、结对式培训和青年干部培训</w:t>
      </w:r>
      <w:r>
        <w:rPr>
          <w:rFonts w:hint="default" w:ascii="Times New Roman" w:hAnsi="Times New Roman" w:cs="Times New Roman"/>
          <w:lang w:eastAsia="zh-CN"/>
        </w:rPr>
        <w:t>，</w:t>
      </w:r>
      <w:r>
        <w:rPr>
          <w:rFonts w:hint="default" w:ascii="Times New Roman" w:hAnsi="Times New Roman" w:cs="Times New Roman"/>
        </w:rPr>
        <w:t>到2025年，新增</w:t>
      </w:r>
      <w:r>
        <w:rPr>
          <w:rFonts w:hint="default" w:ascii="Times New Roman" w:hAnsi="Times New Roman" w:cs="Times New Roman"/>
          <w:lang w:eastAsia="zh-CN"/>
        </w:rPr>
        <w:t>常州市</w:t>
      </w:r>
      <w:r>
        <w:rPr>
          <w:rFonts w:hint="default" w:ascii="Times New Roman" w:hAnsi="Times New Roman" w:cs="Times New Roman"/>
        </w:rPr>
        <w:t>“名校长</w:t>
      </w:r>
      <w:r>
        <w:rPr>
          <w:rFonts w:hint="default" w:ascii="Times New Roman" w:hAnsi="Times New Roman" w:cs="Times New Roman"/>
          <w:lang w:eastAsia="zh-CN"/>
        </w:rPr>
        <w:t>”</w:t>
      </w:r>
      <w:r>
        <w:rPr>
          <w:rFonts w:hint="default" w:ascii="Times New Roman" w:hAnsi="Times New Roman" w:cs="Times New Roman"/>
        </w:rPr>
        <w:t xml:space="preserve">20名以上。                                                                                                                                                                                                                                    </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（二）资源建设质量提升工程</w:t>
      </w:r>
    </w:p>
    <w:p>
      <w:pPr>
        <w:ind w:firstLine="640"/>
        <w:rPr>
          <w:rFonts w:hint="default" w:ascii="Times New Roman" w:hAnsi="Times New Roman" w:cs="Times New Roman"/>
        </w:rPr>
      </w:pPr>
      <w:r>
        <w:rPr>
          <w:rFonts w:hint="default" w:ascii="Times New Roman" w:hAnsi="Times New Roman" w:cs="Times New Roman"/>
        </w:rPr>
        <w:t>精准开展基础教育资源供求预测，发布全区基础教育资源预警，满足基础教育发展的学位需求</w:t>
      </w:r>
      <w:r>
        <w:rPr>
          <w:rFonts w:hint="default" w:ascii="Times New Roman" w:hAnsi="Times New Roman" w:cs="Times New Roman"/>
          <w:lang w:eastAsia="zh-CN"/>
        </w:rPr>
        <w:t>，</w:t>
      </w:r>
      <w:r>
        <w:rPr>
          <w:rFonts w:hint="default" w:ascii="Times New Roman" w:hAnsi="Times New Roman" w:cs="Times New Roman"/>
        </w:rPr>
        <w:t>到2025年，全区新建、改扩建学校40所</w:t>
      </w:r>
      <w:r>
        <w:rPr>
          <w:rFonts w:hint="default" w:ascii="Times New Roman" w:hAnsi="Times New Roman" w:cs="Times New Roman"/>
          <w:lang w:eastAsia="zh-CN"/>
        </w:rPr>
        <w:t>，总投资</w:t>
      </w:r>
      <w:r>
        <w:rPr>
          <w:rFonts w:hint="default" w:ascii="Times New Roman" w:hAnsi="Times New Roman" w:cs="Times New Roman"/>
          <w:lang w:val="en-US" w:eastAsia="zh-CN"/>
        </w:rPr>
        <w:t>43.8亿元</w:t>
      </w:r>
      <w:r>
        <w:rPr>
          <w:rFonts w:hint="default" w:ascii="Times New Roman" w:hAnsi="Times New Roman" w:cs="Times New Roman"/>
        </w:rPr>
        <w:t>。持续推进老城区学校改造，实施义务教育标准化建设，标准化比例达100%，促进城乡教育一体化发展，持续补齐学前教育短板。提升学校装备水平，加大对教育教学设备、教室标准化建设、安防设施投入，到2025年全区中小学基本达省Ⅰ类标准。强化信息化基础能力建设，到2025年全区中小学校100%达到智慧校园建设标准。</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（三）国家级学前教育普及普惠创建工程</w:t>
      </w:r>
    </w:p>
    <w:p>
      <w:pPr>
        <w:ind w:firstLine="640"/>
        <w:rPr>
          <w:rFonts w:hint="default" w:ascii="Times New Roman" w:hAnsi="Times New Roman" w:cs="Times New Roman"/>
        </w:rPr>
      </w:pPr>
      <w:r>
        <w:rPr>
          <w:rFonts w:hint="default" w:ascii="Times New Roman" w:hAnsi="Times New Roman" w:cs="Times New Roman"/>
        </w:rPr>
        <w:t>围绕“扩资源、增普惠、强监管、提质量”的目标，持续增加优质普惠资源，创成国家级学前教育普及普惠区。大力发展公办幼儿园，加大对普惠民办幼儿园的扶持与管理，形成公办幼儿园与普惠幼儿园为主体的学前教育公共服务体系，到2025年学前三年毛入园率达到100%以上，公办及普惠性民办幼儿园覆盖率达92%以上。利用结对帮扶、项目共建、一体化办园等多种方式，在集团化办园的背景下抱团前进，推进幼儿园的内涵建设发展，打造1-2个幼儿园精品项目。积极进行优质园创建，省市优质幼儿园覆盖率达90%以上。规范幼儿园办园行为、招生行为，“十四五”期间，县域内85%以上的班额符合《幼儿园工作规程》有关规定，幼儿园教职工总数与幼儿比不低于1:7，其中专任教师总数与在园幼儿总数</w:t>
      </w:r>
      <w:r>
        <w:rPr>
          <w:rFonts w:hint="default" w:ascii="Times New Roman" w:hAnsi="Times New Roman" w:cs="Times New Roman"/>
          <w:lang w:eastAsia="zh-CN"/>
        </w:rPr>
        <w:t>比例</w:t>
      </w:r>
      <w:r>
        <w:rPr>
          <w:rFonts w:hint="default" w:ascii="Times New Roman" w:hAnsi="Times New Roman" w:cs="Times New Roman"/>
        </w:rPr>
        <w:t>不低于1:15。加大教师队伍建设，力争事业编制和员额管理教师总额占公办园教师总额比例达到90%，并逐步实现公办幼儿园教师同工同酬。扎实践行《3-6岁儿童学习与发展指南》等重要指导性文件，加强科学保教，推进幼儿园与小学科学有效衔接，促进学前教育高质量发展。成立天宁区幼儿园早期教育指导中心，推动托育托幼协同发展，到2025年全区新增6-8个托幼一体化幼儿园。</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（四）国家级义务教育优质均衡创建工程</w:t>
      </w:r>
    </w:p>
    <w:p>
      <w:pPr>
        <w:ind w:firstLine="640"/>
        <w:rPr>
          <w:rFonts w:hint="default" w:ascii="Times New Roman" w:hAnsi="Times New Roman" w:cs="Times New Roman"/>
        </w:rPr>
      </w:pPr>
      <w:r>
        <w:rPr>
          <w:rFonts w:hint="default" w:ascii="Times New Roman" w:hAnsi="Times New Roman" w:cs="Times New Roman"/>
        </w:rPr>
        <w:t>加大力度推进义务教育优质均衡创建工作，创成国家级义务教育优质均衡发展区。</w:t>
      </w:r>
      <w:r>
        <w:rPr>
          <w:rFonts w:hint="default" w:ascii="Times New Roman" w:hAnsi="Times New Roman" w:cs="Times New Roman"/>
          <w:lang w:eastAsia="zh-CN"/>
        </w:rPr>
        <w:t>统筹</w:t>
      </w:r>
      <w:r>
        <w:rPr>
          <w:rFonts w:hint="default" w:ascii="Times New Roman" w:hAnsi="Times New Roman" w:cs="Times New Roman"/>
        </w:rPr>
        <w:t>“城乡一体化”</w:t>
      </w:r>
      <w:r>
        <w:rPr>
          <w:rFonts w:hint="default" w:ascii="Times New Roman" w:hAnsi="Times New Roman" w:cs="Times New Roman"/>
          <w:lang w:eastAsia="zh-CN"/>
        </w:rPr>
        <w:t>发展</w:t>
      </w:r>
      <w:r>
        <w:rPr>
          <w:rFonts w:hint="default" w:ascii="Times New Roman" w:hAnsi="Times New Roman" w:cs="Times New Roman"/>
        </w:rPr>
        <w:t>，</w:t>
      </w:r>
      <w:r>
        <w:rPr>
          <w:rFonts w:hint="default" w:ascii="Times New Roman" w:hAnsi="Times New Roman" w:cs="Times New Roman"/>
          <w:lang w:eastAsia="zh-CN"/>
        </w:rPr>
        <w:t>推动义</w:t>
      </w:r>
      <w:r>
        <w:rPr>
          <w:rFonts w:hint="default" w:ascii="Times New Roman" w:hAnsi="Times New Roman" w:cs="Times New Roman"/>
        </w:rPr>
        <w:t>务教育优质均衡发展，通过优化区域联动、城乡结对、校际联盟、集团互派等方式，提高教师交流轮岗的适切性和实效性。鼓励省特级教师、省人民教育家培养对象、省教学名师、正高级教师、市五级梯队教师等到乡村学校和薄弱学校任教。规范实施义务教育公民同招，控制民办学校招生规模。“十四五”期间，义务教育巩固率达100%，生师比达到中小学16.5:1，其中小学17.5:1，义务教育学校达到省定办学标准比例100%，义务教育专任教师中本科及以上学历比例达到96%。依据不同科目特点，完善考试方式和成绩呈现方式。依据《义务教育质量评价指南》，深入实施教育评价改革，实现学校质量评价全覆盖，科学运用评价结果，发挥评价结果对提高义务教育质量的引领和促进作用。</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（五）优秀教育人才培养工程</w:t>
      </w:r>
    </w:p>
    <w:p>
      <w:pPr>
        <w:ind w:firstLine="640"/>
        <w:rPr>
          <w:rFonts w:hint="default" w:ascii="Times New Roman" w:hAnsi="Times New Roman" w:cs="Times New Roman"/>
        </w:rPr>
      </w:pPr>
      <w:r>
        <w:rPr>
          <w:rFonts w:hint="default" w:ascii="Times New Roman" w:hAnsi="Times New Roman" w:cs="Times New Roman"/>
        </w:rPr>
        <w:t>大力实施师德师风提升工程，选树 “龙城十佳”、市区优秀教育工作者250名，开展教师节优秀教师评选活动，发掘师德典型，讲好师德故事，积极营造全社会尊师重教的良好氛围。围绕“数量和质量”，创新编制管理，深化“区管校聘”管理体制改革，盘活编制存量，优化编制结构，五年招引</w:t>
      </w:r>
      <w:r>
        <w:rPr>
          <w:rFonts w:hint="default" w:ascii="Times New Roman" w:hAnsi="Times New Roman" w:cs="Times New Roman"/>
          <w:lang w:eastAsia="zh-CN"/>
        </w:rPr>
        <w:t>义务教育</w:t>
      </w:r>
      <w:r>
        <w:rPr>
          <w:rFonts w:hint="default" w:ascii="Times New Roman" w:hAnsi="Times New Roman" w:cs="Times New Roman"/>
        </w:rPr>
        <w:t>教师350名左右。促进队伍优质均衡，建设省、市、区名师工作室、乡村骨干教师培育站20个，遴选优秀教师牵手乡村学校。加强梯队建设，落实分层培养，造就一批教育理念新、工作业绩优、科研能力强、综合素质好的名校长、名班主任、名教师。树立“师德师风典范、教书育人示范、教研科研模范”的建设目标，创建青年骨干教师培育站和拔尖人才培育站，培育省、市“四有”好教师团队8个。优化“教坛新秀-教学能手-骨干教师-学科带头人-特级教师后备人才” 梯队发展模式，引育省特级教师3-5名、市“五级梯队”教师250名。</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（六）内涵发展改革创新工程</w:t>
      </w:r>
    </w:p>
    <w:p>
      <w:pPr>
        <w:ind w:firstLine="640"/>
        <w:rPr>
          <w:rFonts w:hint="default" w:ascii="Times New Roman" w:hAnsi="Times New Roman" w:cs="Times New Roman"/>
        </w:rPr>
      </w:pPr>
      <w:r>
        <w:rPr>
          <w:rFonts w:hint="default" w:ascii="Times New Roman" w:hAnsi="Times New Roman" w:cs="Times New Roman"/>
        </w:rPr>
        <w:t>全面落实“双减”工作，有效开展课后服务，创建高质量课后服务体系，新增区域及学校优秀做法及案例10篇以上，并在省市级媒体宣传辐射。着力推进江苏省基础教育前瞻性教学改革重大实验项目</w:t>
      </w:r>
      <w:r>
        <w:rPr>
          <w:rFonts w:hint="eastAsia" w:cs="Times New Roman"/>
          <w:lang w:eastAsia="zh-CN"/>
        </w:rPr>
        <w:t>—</w:t>
      </w:r>
      <w:r>
        <w:rPr>
          <w:rFonts w:hint="default" w:ascii="Times New Roman" w:hAnsi="Times New Roman" w:cs="Times New Roman"/>
        </w:rPr>
        <w:t>《区域联动推进学科育人的“新教学”实验》，通过外引内联、点面结合、合纵连横，</w:t>
      </w:r>
      <w:r>
        <w:rPr>
          <w:rFonts w:hint="default" w:ascii="Times New Roman" w:hAnsi="Times New Roman" w:cs="Times New Roman"/>
          <w:lang w:eastAsia="zh-CN"/>
        </w:rPr>
        <w:t>促进</w:t>
      </w:r>
      <w:r>
        <w:rPr>
          <w:rFonts w:hint="default" w:ascii="Times New Roman" w:hAnsi="Times New Roman" w:cs="Times New Roman"/>
        </w:rPr>
        <w:t>江苏各研究区域之间共研共进、形成合力，探索形成具有天宁教育特质的“新教学”样态。持续推进“‘互联网+’时代课堂教学范式研究”成果的常态化、普适性应用，加快“天宁互联云课堂”资源平台开发，形成应用指南，辐射范式应用，力争新增省基础教育教学成果奖5项、国家级1项。以内涵建设项目研究为抓手促进学校主动发展，重点培育一批省、市级内涵建设项目。至2025年，新增省、市级内涵建设项目30个。落实“常有优学”新要求，全面提升办学品质，新增常州市义务教育“新优质学校”“主动发展示范校”</w:t>
      </w:r>
      <w:r>
        <w:rPr>
          <w:rFonts w:hint="default" w:ascii="Times New Roman" w:hAnsi="Times New Roman" w:cs="Times New Roman"/>
          <w:lang w:eastAsia="zh-CN"/>
        </w:rPr>
        <w:t>共</w:t>
      </w:r>
      <w:r>
        <w:rPr>
          <w:rFonts w:hint="default" w:ascii="Times New Roman" w:hAnsi="Times New Roman" w:cs="Times New Roman"/>
        </w:rPr>
        <w:t>8-10所，提炼发展经验，形成品牌影响力。推动思政课建设内涵式发展，开展大中小思政一体化建设联盟活动，力争新增4-5所“常州市思政育人特色学校”。建立中小幼学段系列化劳动教育研究联盟，力争每年分别新增8-10所常州市劳动教育和食育示范学校。广泛开展体育大课间、视力防控爱眼等活动，进一步提升学生体质健康水平。深化心理健康教育，在中小学心理健康课开设率、心理咨询室配置率达100%基础上，力争每2年新增1-2所常州市心理健康教育特色学校。实施青少年体育“5621”计划，至2025年，每所学校均成功打造一项体育特色项目，每年新增2-3所常州市深化学校体育改革实验学校。实施美育浸润行动计划，全面统筹“艺术特色”学校布点，新增市艺术特色学校3-5所，省艺术特色学校1-2所。</w:t>
      </w:r>
    </w:p>
    <w:p>
      <w:pPr>
        <w:ind w:firstLine="640"/>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六、保障措施</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（一）着力推进依法治教</w:t>
      </w:r>
    </w:p>
    <w:p>
      <w:pPr>
        <w:ind w:firstLine="640"/>
        <w:rPr>
          <w:rFonts w:hint="default" w:ascii="Times New Roman" w:hAnsi="Times New Roman" w:eastAsia="方正仿宋_GBK" w:cs="Times New Roman"/>
          <w:kern w:val="0"/>
        </w:rPr>
      </w:pPr>
      <w:r>
        <w:rPr>
          <w:rFonts w:hint="default" w:ascii="Times New Roman" w:hAnsi="Times New Roman" w:eastAsia="方正仿宋_GBK" w:cs="Times New Roman"/>
        </w:rPr>
        <w:t>全面实现“一校一章程”。改革完善依法决策机制，推进教育决策科学化民主化法治化。强化青少年法治教育，推进“八五”普法规划实施，将法治教育贯穿学校教育的各个阶段。强化教育督导评估，加强教育督导和督学力量，形成督政、督学、评估监测三位一体的教育督导体系，深化督学聘用和管理改革，落实教育督导条件保障，完善中小学（幼儿园）责任督学挂牌督导制度，切实增强教育督导的针对性和实效性。优化科学评价学校教育教学质量的评估检测机制，以评价激励促改革发展。</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（二）不断强化制度保障</w:t>
      </w:r>
    </w:p>
    <w:p>
      <w:pPr>
        <w:ind w:firstLine="640"/>
        <w:rPr>
          <w:rFonts w:hint="default" w:ascii="Times New Roman" w:hAnsi="Times New Roman" w:cs="Times New Roman"/>
          <w:bCs/>
        </w:rPr>
      </w:pPr>
      <w:bookmarkStart w:id="0" w:name="_Toc50366986"/>
      <w:r>
        <w:rPr>
          <w:rFonts w:hint="default" w:ascii="Times New Roman" w:hAnsi="Times New Roman" w:cs="Times New Roman"/>
          <w:kern w:val="0"/>
        </w:rPr>
        <w:t>加强相关部门间的协调配合，建立各有关部门定期沟通协调机制。突出教育改革重点，着力抓好重点项目和改革试点，确保落到实处、取得实效。</w:t>
      </w:r>
      <w:bookmarkEnd w:id="0"/>
      <w:r>
        <w:rPr>
          <w:rFonts w:hint="default" w:ascii="Times New Roman" w:hAnsi="Times New Roman" w:cs="Times New Roman"/>
          <w:kern w:val="0"/>
        </w:rPr>
        <w:t>加强对规划实施情况的监测评估和跟踪督查，将规划落实情况纳入区委</w:t>
      </w:r>
      <w:r>
        <w:rPr>
          <w:rFonts w:hint="default" w:ascii="Times New Roman" w:hAnsi="Times New Roman" w:cs="Times New Roman"/>
          <w:kern w:val="0"/>
          <w:lang w:eastAsia="zh-CN"/>
        </w:rPr>
        <w:t>区</w:t>
      </w:r>
      <w:r>
        <w:rPr>
          <w:rFonts w:hint="default" w:ascii="Times New Roman" w:hAnsi="Times New Roman" w:cs="Times New Roman"/>
          <w:kern w:val="0"/>
        </w:rPr>
        <w:t>政府综合评价和绩效考核体系，把教育督导结果作为考核、奖惩的重要依据。优化财政支出结构，落实财政教育投入责任，加大教育投入力度，在财政资金投入上优先保障教育。加强投入监管，将绩效管理覆盖所有财政教育资金，并深度融入预算编制、执行、监督全过程。对各级各类教育财政资金进行动态监控，优化教育财政资金动态监控平台功能。</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（三）持续营造良好生态</w:t>
      </w:r>
    </w:p>
    <w:p>
      <w:pPr>
        <w:ind w:firstLine="640"/>
        <w:rPr>
          <w:rFonts w:hint="default" w:ascii="Times New Roman" w:hAnsi="Times New Roman" w:cs="Times New Roman"/>
        </w:rPr>
      </w:pPr>
      <w:r>
        <w:rPr>
          <w:rFonts w:hint="default" w:ascii="Times New Roman" w:hAnsi="Times New Roman" w:cs="Times New Roman"/>
          <w:kern w:val="0"/>
        </w:rPr>
        <w:t>强化与新闻媒体合作，引导社会各界和广大人民群众共同关心、支持和参与教育发展改革。</w:t>
      </w:r>
      <w:r>
        <w:rPr>
          <w:rFonts w:hint="default" w:ascii="Times New Roman" w:hAnsi="Times New Roman" w:cs="Times New Roman"/>
        </w:rPr>
        <w:t>整合优化全区宣传资源，形成媒体宣传矩阵效应，实现“资源通融、内容兼融、宣传互融、利益共融”全新格局。加大力度宣传新优质学校、集团化办学、增加学位供给、家门口的学校一样精彩等一系列关系民生的教育话题。重点征集教育均衡发展、素质教育、改革创新等方面素材，打造一批“现象级传播”“IP爆款”产品。</w:t>
      </w:r>
      <w:r>
        <w:rPr>
          <w:rFonts w:hint="default" w:ascii="Times New Roman" w:hAnsi="Times New Roman" w:cs="Times New Roman"/>
          <w:lang w:eastAsia="zh-CN"/>
        </w:rPr>
        <w:t>建立</w:t>
      </w:r>
      <w:r>
        <w:rPr>
          <w:rFonts w:hint="default" w:ascii="Times New Roman" w:hAnsi="Times New Roman" w:cs="Times New Roman"/>
        </w:rPr>
        <w:t>全区性的教育大宣传专属平台，充分发挥其教育宣传平台、正面舆论阵地、教育信息枢纽、社情民意聚合等功能。</w:t>
      </w:r>
    </w:p>
    <w:p>
      <w:pPr>
        <w:ind w:firstLine="640"/>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（四）有力保障平安校园</w:t>
      </w:r>
    </w:p>
    <w:p>
      <w:pPr>
        <w:ind w:firstLine="640"/>
        <w:rPr>
          <w:rFonts w:hint="default" w:ascii="Times New Roman" w:hAnsi="Times New Roman" w:cs="Times New Roman"/>
        </w:rPr>
      </w:pPr>
      <w:r>
        <w:rPr>
          <w:rFonts w:hint="default" w:ascii="Times New Roman" w:hAnsi="Times New Roman" w:cs="Times New Roman"/>
        </w:rPr>
        <w:t>树牢安全发展理念，健全管理制度，突出主体责任落实，切实维护学校安全和教学秩序，不断提升平安校园建设水平，全力保障全区教育系统稳定、和谐发展。不断深化学校安全风险体系建设，加强新冠肺炎等传染病防控和学校卫生防护能力提升，推动阳光食堂建设，推进学校安全风险预防、管控、处置机制建设。加强校园和校车安全整治，聚焦实验室及危化品安全、消防安全、治安防控、校车及交通安全、食品安全、传染病防控、建筑与施工安全、维护稳定、安全教育宣传等学校安全重点领域，常态化开展风险排查整治。</w:t>
      </w:r>
    </w:p>
    <w:p>
      <w:pPr>
        <w:pStyle w:val="2"/>
        <w:rPr>
          <w:rFonts w:hint="default"/>
        </w:rPr>
      </w:pPr>
    </w:p>
    <w:p>
      <w:pPr>
        <w:ind w:firstLine="640"/>
        <w:rPr>
          <w:rFonts w:hint="default" w:ascii="Times New Roman" w:hAnsi="Times New Roman" w:eastAsia="方正仿宋_GB2312" w:cs="Times New Roman"/>
          <w:color w:val="000000" w:themeColor="text1"/>
          <w:szCs w:val="32"/>
          <w14:textFill>
            <w14:solidFill>
              <w14:schemeClr w14:val="tx1"/>
            </w14:solidFill>
          </w14:textFill>
        </w:rPr>
      </w:pPr>
    </w:p>
    <w:p>
      <w:pPr>
        <w:ind w:firstLine="640"/>
        <w:rPr>
          <w:rFonts w:hint="default" w:ascii="Times New Roman" w:hAnsi="Times New Roman" w:eastAsia="方正仿宋_GB2312" w:cs="Times New Roman"/>
          <w:color w:val="000000" w:themeColor="text1"/>
          <w:szCs w:val="32"/>
          <w14:textFill>
            <w14:solidFill>
              <w14:schemeClr w14:val="tx1"/>
            </w14:solidFill>
          </w14:textFill>
        </w:rPr>
      </w:pPr>
    </w:p>
    <w:tbl>
      <w:tblPr>
        <w:tblStyle w:val="10"/>
        <w:tblpPr w:leftFromText="181" w:rightFromText="181" w:horzAnchor="margin" w:tblpXSpec="center" w:tblpYSpec="bottom"/>
        <w:tblW w:w="8845" w:type="dxa"/>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c>
          <w:tcPr>
            <w:tcW w:w="8845" w:type="dxa"/>
            <w:noWrap w:val="0"/>
            <w:vAlign w:val="top"/>
          </w:tcPr>
          <w:p>
            <w:pPr>
              <w:spacing w:line="560" w:lineRule="exact"/>
              <w:ind w:left="0" w:leftChars="0" w:right="320" w:rightChars="100"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常州市天宁区人民政府办公室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17</w:t>
            </w:r>
            <w:r>
              <w:rPr>
                <w:rFonts w:hint="default" w:ascii="Times New Roman" w:hAnsi="Times New Roman" w:eastAsia="方正仿宋_GBK" w:cs="Times New Roman"/>
                <w:sz w:val="28"/>
                <w:szCs w:val="28"/>
              </w:rPr>
              <w:t>日印发</w:t>
            </w:r>
          </w:p>
        </w:tc>
      </w:tr>
    </w:tbl>
    <w:p>
      <w:pPr>
        <w:ind w:firstLine="0" w:firstLineChars="0"/>
        <w:rPr>
          <w:rFonts w:hint="default" w:ascii="Times New Roman" w:hAnsi="Times New Roman" w:cs="Times New Roman"/>
        </w:rPr>
      </w:pPr>
    </w:p>
    <w:p>
      <w:pPr>
        <w:rPr>
          <w:rFonts w:hint="default" w:ascii="Times New Roman" w:hAnsi="Times New Roman" w:eastAsia="方正仿宋_GBK" w:cs="Times New Roman"/>
          <w:kern w:val="2"/>
          <w:sz w:val="32"/>
          <w:szCs w:val="22"/>
          <w:lang w:val="en-US" w:eastAsia="zh-CN" w:bidi="ar-SA"/>
        </w:rPr>
      </w:pPr>
    </w:p>
    <w:p>
      <w:pPr>
        <w:rPr>
          <w:rFonts w:hint="default" w:ascii="Times New Roman" w:hAnsi="Times New Roman" w:eastAsia="方正仿宋_GBK" w:cs="Times New Roman"/>
          <w:kern w:val="2"/>
          <w:sz w:val="32"/>
          <w:szCs w:val="22"/>
          <w:lang w:val="en-US" w:eastAsia="zh-CN" w:bidi="ar-SA"/>
        </w:rPr>
      </w:pPr>
    </w:p>
    <w:p>
      <w:pPr>
        <w:tabs>
          <w:tab w:val="left" w:pos="352"/>
        </w:tabs>
        <w:rPr>
          <w:rFonts w:hint="default" w:ascii="Times New Roman" w:hAnsi="Times New Roman" w:eastAsia="方正仿宋_GBK" w:cs="Times New Roman"/>
          <w:kern w:val="2"/>
          <w:sz w:val="32"/>
          <w:szCs w:val="22"/>
          <w:lang w:val="en-US" w:eastAsia="zh-CN" w:bidi="ar-SA"/>
        </w:rPr>
      </w:pPr>
      <w:r>
        <w:rPr>
          <w:rFonts w:hint="eastAsia" w:cs="Times New Roman"/>
          <w:kern w:val="2"/>
          <w:sz w:val="32"/>
          <w:szCs w:val="22"/>
          <w:lang w:val="en-US" w:eastAsia="zh-CN" w:bidi="ar-SA"/>
        </w:rPr>
        <w:tab/>
      </w:r>
    </w:p>
    <w:p>
      <w:pPr>
        <w:tabs>
          <w:tab w:val="left" w:pos="1511"/>
        </w:tabs>
        <w:ind w:left="0" w:leftChars="0" w:firstLine="0" w:firstLineChars="0"/>
        <w:jc w:val="left"/>
        <w:rPr>
          <w:rFonts w:hint="default"/>
          <w:lang w:val="en-US" w:eastAsia="zh-CN"/>
        </w:rPr>
      </w:pPr>
      <w:r>
        <w:rPr>
          <w:rFonts w:hint="eastAsia" w:cs="Times New Roman"/>
          <w:kern w:val="2"/>
          <w:sz w:val="32"/>
          <w:szCs w:val="22"/>
          <w:lang w:val="en-US" w:eastAsia="zh-CN" w:bidi="ar-SA"/>
        </w:rPr>
        <w:tab/>
      </w:r>
    </w:p>
    <w:sectPr>
      <w:headerReference r:id="rId5" w:type="default"/>
      <w:footerReference r:id="rId7" w:type="default"/>
      <w:headerReference r:id="rId6" w:type="even"/>
      <w:footerReference r:id="rId8" w:type="even"/>
      <w:pgSz w:w="11906" w:h="16838"/>
      <w:pgMar w:top="2098" w:right="1531" w:bottom="1984" w:left="1531" w:header="709" w:footer="1361" w:gutter="0"/>
      <w:pgNumType w:start="1"/>
      <w:cols w:space="0" w:num="1"/>
      <w:rtlGutter w:val="0"/>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3344272"/>
      <w:docPartObj>
        <w:docPartGallery w:val="autotext"/>
      </w:docPartObj>
    </w:sdtPr>
    <w:sdtEndPr>
      <w:rPr>
        <w:rFonts w:asciiTheme="minorEastAsia" w:hAnsiTheme="minorEastAsia" w:eastAsiaTheme="minorEastAsia"/>
        <w:sz w:val="28"/>
        <w:szCs w:val="28"/>
      </w:rPr>
    </w:sdtEndPr>
    <w:sdtContent>
      <w:p>
        <w:pPr>
          <w:pStyle w:val="7"/>
          <w:ind w:firstLine="360" w:firstLineChars="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3344278"/>
      <w:docPartObj>
        <w:docPartGallery w:val="autotext"/>
      </w:docPartObj>
    </w:sdtPr>
    <w:sdtEndPr>
      <w:rPr>
        <w:rFonts w:asciiTheme="minorEastAsia" w:hAnsiTheme="minorEastAsia" w:eastAsiaTheme="minorEastAsia"/>
        <w:sz w:val="28"/>
        <w:szCs w:val="28"/>
      </w:rPr>
    </w:sdtEndPr>
    <w:sdtContent>
      <w:p>
        <w:pPr>
          <w:pStyle w:val="7"/>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96C3F"/>
    <w:rsid w:val="0000424C"/>
    <w:rsid w:val="000431DE"/>
    <w:rsid w:val="00043435"/>
    <w:rsid w:val="0005771D"/>
    <w:rsid w:val="00063069"/>
    <w:rsid w:val="00063FAC"/>
    <w:rsid w:val="00065A53"/>
    <w:rsid w:val="000746F4"/>
    <w:rsid w:val="00076E3A"/>
    <w:rsid w:val="00081699"/>
    <w:rsid w:val="000823EE"/>
    <w:rsid w:val="00085003"/>
    <w:rsid w:val="0009669F"/>
    <w:rsid w:val="000C1B04"/>
    <w:rsid w:val="000C200D"/>
    <w:rsid w:val="000C2960"/>
    <w:rsid w:val="000C3538"/>
    <w:rsid w:val="000D0FD7"/>
    <w:rsid w:val="000D1803"/>
    <w:rsid w:val="000E70F3"/>
    <w:rsid w:val="000E724B"/>
    <w:rsid w:val="000F233F"/>
    <w:rsid w:val="001230AF"/>
    <w:rsid w:val="00127F3C"/>
    <w:rsid w:val="00135D30"/>
    <w:rsid w:val="00150ABA"/>
    <w:rsid w:val="00156BD4"/>
    <w:rsid w:val="001807C8"/>
    <w:rsid w:val="0019677C"/>
    <w:rsid w:val="001A6A77"/>
    <w:rsid w:val="001B6F81"/>
    <w:rsid w:val="001C123E"/>
    <w:rsid w:val="001C4751"/>
    <w:rsid w:val="001C4BA9"/>
    <w:rsid w:val="001D015B"/>
    <w:rsid w:val="001E3969"/>
    <w:rsid w:val="001E576D"/>
    <w:rsid w:val="001F35ED"/>
    <w:rsid w:val="001F40CC"/>
    <w:rsid w:val="001F40EA"/>
    <w:rsid w:val="001F7319"/>
    <w:rsid w:val="00200997"/>
    <w:rsid w:val="00204872"/>
    <w:rsid w:val="0023469C"/>
    <w:rsid w:val="00242B90"/>
    <w:rsid w:val="00260FD9"/>
    <w:rsid w:val="0026358D"/>
    <w:rsid w:val="00276D25"/>
    <w:rsid w:val="00280598"/>
    <w:rsid w:val="00295B40"/>
    <w:rsid w:val="00297CD6"/>
    <w:rsid w:val="002A4C0D"/>
    <w:rsid w:val="002A78AE"/>
    <w:rsid w:val="002D29B1"/>
    <w:rsid w:val="002E2911"/>
    <w:rsid w:val="002E7F4D"/>
    <w:rsid w:val="002F0791"/>
    <w:rsid w:val="002F1A65"/>
    <w:rsid w:val="002F5B5E"/>
    <w:rsid w:val="002F7B36"/>
    <w:rsid w:val="0030283E"/>
    <w:rsid w:val="00332214"/>
    <w:rsid w:val="0034504C"/>
    <w:rsid w:val="00347E51"/>
    <w:rsid w:val="003510D8"/>
    <w:rsid w:val="0036134E"/>
    <w:rsid w:val="00376C73"/>
    <w:rsid w:val="00376D8C"/>
    <w:rsid w:val="0038065F"/>
    <w:rsid w:val="003822FE"/>
    <w:rsid w:val="003A231F"/>
    <w:rsid w:val="003A77B6"/>
    <w:rsid w:val="003C7710"/>
    <w:rsid w:val="003D0C6D"/>
    <w:rsid w:val="003E275E"/>
    <w:rsid w:val="003F0A76"/>
    <w:rsid w:val="003F1042"/>
    <w:rsid w:val="004143D3"/>
    <w:rsid w:val="004269D5"/>
    <w:rsid w:val="004302F3"/>
    <w:rsid w:val="00450B54"/>
    <w:rsid w:val="004556B8"/>
    <w:rsid w:val="00460439"/>
    <w:rsid w:val="00471FC1"/>
    <w:rsid w:val="00486050"/>
    <w:rsid w:val="00494201"/>
    <w:rsid w:val="00496C0C"/>
    <w:rsid w:val="004B53AA"/>
    <w:rsid w:val="004B55FA"/>
    <w:rsid w:val="004D5BA4"/>
    <w:rsid w:val="004F217F"/>
    <w:rsid w:val="00507922"/>
    <w:rsid w:val="00515956"/>
    <w:rsid w:val="00523231"/>
    <w:rsid w:val="00525082"/>
    <w:rsid w:val="005507C9"/>
    <w:rsid w:val="00555A2B"/>
    <w:rsid w:val="00556B2A"/>
    <w:rsid w:val="00562A6A"/>
    <w:rsid w:val="00571376"/>
    <w:rsid w:val="005774C3"/>
    <w:rsid w:val="00577F61"/>
    <w:rsid w:val="00583B2C"/>
    <w:rsid w:val="00590570"/>
    <w:rsid w:val="00594870"/>
    <w:rsid w:val="005968AB"/>
    <w:rsid w:val="00597A93"/>
    <w:rsid w:val="005A5482"/>
    <w:rsid w:val="005C1F0A"/>
    <w:rsid w:val="005D71C7"/>
    <w:rsid w:val="005E35BC"/>
    <w:rsid w:val="005F277A"/>
    <w:rsid w:val="00607D62"/>
    <w:rsid w:val="00613404"/>
    <w:rsid w:val="00621487"/>
    <w:rsid w:val="00633F13"/>
    <w:rsid w:val="00641A8E"/>
    <w:rsid w:val="00650F2E"/>
    <w:rsid w:val="00651395"/>
    <w:rsid w:val="006759E9"/>
    <w:rsid w:val="00695C8F"/>
    <w:rsid w:val="006A3CC3"/>
    <w:rsid w:val="006B0EA4"/>
    <w:rsid w:val="006C30EB"/>
    <w:rsid w:val="006D5967"/>
    <w:rsid w:val="006E2F5E"/>
    <w:rsid w:val="006F1EAB"/>
    <w:rsid w:val="00702726"/>
    <w:rsid w:val="0070393A"/>
    <w:rsid w:val="00714D3A"/>
    <w:rsid w:val="00735871"/>
    <w:rsid w:val="007530EB"/>
    <w:rsid w:val="00755EE1"/>
    <w:rsid w:val="00761329"/>
    <w:rsid w:val="00764FBC"/>
    <w:rsid w:val="00772B8C"/>
    <w:rsid w:val="00775A8E"/>
    <w:rsid w:val="00776611"/>
    <w:rsid w:val="007919C5"/>
    <w:rsid w:val="007B2B8A"/>
    <w:rsid w:val="007C49D5"/>
    <w:rsid w:val="00803DC4"/>
    <w:rsid w:val="00805A46"/>
    <w:rsid w:val="008169C2"/>
    <w:rsid w:val="00826B66"/>
    <w:rsid w:val="00836164"/>
    <w:rsid w:val="008557D2"/>
    <w:rsid w:val="0086100D"/>
    <w:rsid w:val="0086430B"/>
    <w:rsid w:val="00867149"/>
    <w:rsid w:val="00887DF1"/>
    <w:rsid w:val="008A0014"/>
    <w:rsid w:val="008A3316"/>
    <w:rsid w:val="008A3B84"/>
    <w:rsid w:val="008B0A37"/>
    <w:rsid w:val="008C2430"/>
    <w:rsid w:val="008D4A7A"/>
    <w:rsid w:val="008E3EF9"/>
    <w:rsid w:val="008E4947"/>
    <w:rsid w:val="009107CC"/>
    <w:rsid w:val="00914482"/>
    <w:rsid w:val="00917FD4"/>
    <w:rsid w:val="00951DBD"/>
    <w:rsid w:val="00953E41"/>
    <w:rsid w:val="00962004"/>
    <w:rsid w:val="00993714"/>
    <w:rsid w:val="009A53DB"/>
    <w:rsid w:val="009A6397"/>
    <w:rsid w:val="009D3EC5"/>
    <w:rsid w:val="009F1A25"/>
    <w:rsid w:val="009F7996"/>
    <w:rsid w:val="00A07128"/>
    <w:rsid w:val="00A21DC5"/>
    <w:rsid w:val="00A24B23"/>
    <w:rsid w:val="00A27BC9"/>
    <w:rsid w:val="00A27DE1"/>
    <w:rsid w:val="00A34E13"/>
    <w:rsid w:val="00A46604"/>
    <w:rsid w:val="00A61D33"/>
    <w:rsid w:val="00A71226"/>
    <w:rsid w:val="00A854A8"/>
    <w:rsid w:val="00A8559D"/>
    <w:rsid w:val="00AA2C51"/>
    <w:rsid w:val="00AB2F0B"/>
    <w:rsid w:val="00AB59F4"/>
    <w:rsid w:val="00AC7520"/>
    <w:rsid w:val="00AD222E"/>
    <w:rsid w:val="00AD542D"/>
    <w:rsid w:val="00AF72B0"/>
    <w:rsid w:val="00B15B9D"/>
    <w:rsid w:val="00B176D8"/>
    <w:rsid w:val="00B30452"/>
    <w:rsid w:val="00B33EC8"/>
    <w:rsid w:val="00B346B0"/>
    <w:rsid w:val="00B36A5B"/>
    <w:rsid w:val="00B4085B"/>
    <w:rsid w:val="00B53E53"/>
    <w:rsid w:val="00B61CDB"/>
    <w:rsid w:val="00B731AA"/>
    <w:rsid w:val="00B738F3"/>
    <w:rsid w:val="00B85599"/>
    <w:rsid w:val="00BB13CD"/>
    <w:rsid w:val="00BC3BB4"/>
    <w:rsid w:val="00BE11C8"/>
    <w:rsid w:val="00BE7BE9"/>
    <w:rsid w:val="00C0753D"/>
    <w:rsid w:val="00C1246C"/>
    <w:rsid w:val="00C22C9C"/>
    <w:rsid w:val="00C246B4"/>
    <w:rsid w:val="00C26264"/>
    <w:rsid w:val="00C32D6D"/>
    <w:rsid w:val="00C34737"/>
    <w:rsid w:val="00C44A4F"/>
    <w:rsid w:val="00C504F2"/>
    <w:rsid w:val="00C51B0C"/>
    <w:rsid w:val="00C522FE"/>
    <w:rsid w:val="00C6464C"/>
    <w:rsid w:val="00C83183"/>
    <w:rsid w:val="00C97571"/>
    <w:rsid w:val="00CA1965"/>
    <w:rsid w:val="00CA6B2F"/>
    <w:rsid w:val="00CB605D"/>
    <w:rsid w:val="00CC13D7"/>
    <w:rsid w:val="00CC166A"/>
    <w:rsid w:val="00CC26E4"/>
    <w:rsid w:val="00CC4A3A"/>
    <w:rsid w:val="00CF7DD7"/>
    <w:rsid w:val="00D1338C"/>
    <w:rsid w:val="00D200CB"/>
    <w:rsid w:val="00D20CCD"/>
    <w:rsid w:val="00D24169"/>
    <w:rsid w:val="00D27296"/>
    <w:rsid w:val="00D35540"/>
    <w:rsid w:val="00D51235"/>
    <w:rsid w:val="00D55C1D"/>
    <w:rsid w:val="00D5729E"/>
    <w:rsid w:val="00D67673"/>
    <w:rsid w:val="00D73727"/>
    <w:rsid w:val="00D87738"/>
    <w:rsid w:val="00D87E63"/>
    <w:rsid w:val="00D95DEE"/>
    <w:rsid w:val="00DB5CB1"/>
    <w:rsid w:val="00DD16BD"/>
    <w:rsid w:val="00DD6736"/>
    <w:rsid w:val="00DE13A4"/>
    <w:rsid w:val="00E0243E"/>
    <w:rsid w:val="00E336F3"/>
    <w:rsid w:val="00E33DC7"/>
    <w:rsid w:val="00E56302"/>
    <w:rsid w:val="00E56440"/>
    <w:rsid w:val="00E62846"/>
    <w:rsid w:val="00E737E5"/>
    <w:rsid w:val="00E74775"/>
    <w:rsid w:val="00E95BD7"/>
    <w:rsid w:val="00EA3CBD"/>
    <w:rsid w:val="00EA4CFB"/>
    <w:rsid w:val="00EA76C4"/>
    <w:rsid w:val="00EF158C"/>
    <w:rsid w:val="00EF31B0"/>
    <w:rsid w:val="00F00012"/>
    <w:rsid w:val="00F0204D"/>
    <w:rsid w:val="00F1355B"/>
    <w:rsid w:val="00F34666"/>
    <w:rsid w:val="00F75325"/>
    <w:rsid w:val="00F90C9D"/>
    <w:rsid w:val="00FA7202"/>
    <w:rsid w:val="00FB4EAD"/>
    <w:rsid w:val="00FC6AC7"/>
    <w:rsid w:val="00FE1C17"/>
    <w:rsid w:val="00FE2E37"/>
    <w:rsid w:val="00FE7A18"/>
    <w:rsid w:val="00FF1FE5"/>
    <w:rsid w:val="0128288D"/>
    <w:rsid w:val="01C57123"/>
    <w:rsid w:val="01EF05B4"/>
    <w:rsid w:val="02F738C0"/>
    <w:rsid w:val="046D262F"/>
    <w:rsid w:val="079A205A"/>
    <w:rsid w:val="079A3A8E"/>
    <w:rsid w:val="084310A0"/>
    <w:rsid w:val="088E3DE3"/>
    <w:rsid w:val="0CB040D4"/>
    <w:rsid w:val="0CB24EDB"/>
    <w:rsid w:val="0E206074"/>
    <w:rsid w:val="0F4E6F45"/>
    <w:rsid w:val="0F830DA9"/>
    <w:rsid w:val="100B719B"/>
    <w:rsid w:val="11734E03"/>
    <w:rsid w:val="12D249E3"/>
    <w:rsid w:val="13916952"/>
    <w:rsid w:val="140914E3"/>
    <w:rsid w:val="1503252B"/>
    <w:rsid w:val="15D74061"/>
    <w:rsid w:val="15EB2143"/>
    <w:rsid w:val="16000901"/>
    <w:rsid w:val="16E14AE7"/>
    <w:rsid w:val="1942363E"/>
    <w:rsid w:val="19B37EA2"/>
    <w:rsid w:val="1A7E5B35"/>
    <w:rsid w:val="1B1614C3"/>
    <w:rsid w:val="1BA870F9"/>
    <w:rsid w:val="1BCD2BC5"/>
    <w:rsid w:val="1CC83E0A"/>
    <w:rsid w:val="1D6E768C"/>
    <w:rsid w:val="1F2E53BC"/>
    <w:rsid w:val="1F342C4B"/>
    <w:rsid w:val="1FDA2147"/>
    <w:rsid w:val="200B3A81"/>
    <w:rsid w:val="220B14EA"/>
    <w:rsid w:val="22DA607A"/>
    <w:rsid w:val="23085F13"/>
    <w:rsid w:val="23CC5723"/>
    <w:rsid w:val="24C41E52"/>
    <w:rsid w:val="254052F8"/>
    <w:rsid w:val="25C35B43"/>
    <w:rsid w:val="27F271EE"/>
    <w:rsid w:val="28374E77"/>
    <w:rsid w:val="286E270D"/>
    <w:rsid w:val="28FD77B6"/>
    <w:rsid w:val="294B2ED1"/>
    <w:rsid w:val="2A716F4E"/>
    <w:rsid w:val="2B673283"/>
    <w:rsid w:val="2BB662A2"/>
    <w:rsid w:val="2BBF6E53"/>
    <w:rsid w:val="2C410AD8"/>
    <w:rsid w:val="2CFA10B6"/>
    <w:rsid w:val="2E290A72"/>
    <w:rsid w:val="2E6705EA"/>
    <w:rsid w:val="2F584A48"/>
    <w:rsid w:val="2F60358E"/>
    <w:rsid w:val="322021ED"/>
    <w:rsid w:val="3305518D"/>
    <w:rsid w:val="34962BDA"/>
    <w:rsid w:val="35BB47A7"/>
    <w:rsid w:val="36B66005"/>
    <w:rsid w:val="37316DE0"/>
    <w:rsid w:val="393C2A5B"/>
    <w:rsid w:val="3AC6798C"/>
    <w:rsid w:val="3B0955F6"/>
    <w:rsid w:val="3BDD5055"/>
    <w:rsid w:val="3DE42F03"/>
    <w:rsid w:val="3E8747D2"/>
    <w:rsid w:val="3EB9200E"/>
    <w:rsid w:val="3FD374C5"/>
    <w:rsid w:val="4072620C"/>
    <w:rsid w:val="40B82E20"/>
    <w:rsid w:val="40DD7EDC"/>
    <w:rsid w:val="42742F41"/>
    <w:rsid w:val="42C36AA4"/>
    <w:rsid w:val="43EA332C"/>
    <w:rsid w:val="47373850"/>
    <w:rsid w:val="48621E17"/>
    <w:rsid w:val="4892191E"/>
    <w:rsid w:val="48C96C3F"/>
    <w:rsid w:val="4AC0215E"/>
    <w:rsid w:val="4B0D5E79"/>
    <w:rsid w:val="4B7A0E8E"/>
    <w:rsid w:val="4E9B5A7D"/>
    <w:rsid w:val="5014507F"/>
    <w:rsid w:val="511B599E"/>
    <w:rsid w:val="51F8320A"/>
    <w:rsid w:val="52084DC8"/>
    <w:rsid w:val="552E5D44"/>
    <w:rsid w:val="56CE297B"/>
    <w:rsid w:val="571E2C3E"/>
    <w:rsid w:val="59FD1F71"/>
    <w:rsid w:val="5A2E03CD"/>
    <w:rsid w:val="5B25771F"/>
    <w:rsid w:val="5B983F99"/>
    <w:rsid w:val="5BE57382"/>
    <w:rsid w:val="5C0431E3"/>
    <w:rsid w:val="5C046DED"/>
    <w:rsid w:val="5E563142"/>
    <w:rsid w:val="5F2E5327"/>
    <w:rsid w:val="5F8A0BB7"/>
    <w:rsid w:val="60874427"/>
    <w:rsid w:val="61F41657"/>
    <w:rsid w:val="626559E9"/>
    <w:rsid w:val="62FD308B"/>
    <w:rsid w:val="64B25F79"/>
    <w:rsid w:val="64DA5430"/>
    <w:rsid w:val="669B2916"/>
    <w:rsid w:val="66C21379"/>
    <w:rsid w:val="676E192B"/>
    <w:rsid w:val="68895B4D"/>
    <w:rsid w:val="69332B3B"/>
    <w:rsid w:val="6E0D513B"/>
    <w:rsid w:val="705160B5"/>
    <w:rsid w:val="71F21360"/>
    <w:rsid w:val="72312DB5"/>
    <w:rsid w:val="72CA1872"/>
    <w:rsid w:val="72F64266"/>
    <w:rsid w:val="74D87693"/>
    <w:rsid w:val="782959E1"/>
    <w:rsid w:val="78912E9A"/>
    <w:rsid w:val="792918C8"/>
    <w:rsid w:val="7A8B6F02"/>
    <w:rsid w:val="7BAC7C85"/>
    <w:rsid w:val="7C260E8B"/>
    <w:rsid w:val="7DF207DE"/>
    <w:rsid w:val="7E494C0A"/>
    <w:rsid w:val="7F2B4B13"/>
    <w:rsid w:val="7F516AD3"/>
    <w:rsid w:val="7F782A4B"/>
    <w:rsid w:val="7FAF15A8"/>
    <w:rsid w:val="7FEA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basedOn w:val="1"/>
    <w:qFormat/>
    <w:uiPriority w:val="0"/>
    <w:pPr>
      <w:jc w:val="center"/>
    </w:pPr>
    <w:rPr>
      <w:rFonts w:eastAsia="华文中宋"/>
      <w:sz w:val="44"/>
      <w:szCs w:val="20"/>
    </w:rPr>
  </w:style>
  <w:style w:type="paragraph" w:styleId="5">
    <w:name w:val="index 4"/>
    <w:basedOn w:val="1"/>
    <w:next w:val="1"/>
    <w:unhideWhenUsed/>
    <w:qFormat/>
    <w:uiPriority w:val="99"/>
    <w:pPr>
      <w:ind w:left="600" w:leftChars="600"/>
    </w:pPr>
    <w:rPr>
      <w:rFonts w:ascii="Verdana" w:hAnsi="Verdana"/>
      <w:szCs w:val="20"/>
    </w:rPr>
  </w:style>
  <w:style w:type="paragraph" w:styleId="6">
    <w:name w:val="Plain Text"/>
    <w:basedOn w:val="1"/>
    <w:qFormat/>
    <w:uiPriority w:val="0"/>
    <w:rPr>
      <w:rFonts w:ascii="宋体" w:hAnsi="Courier New" w:cs="Courier New"/>
      <w:szCs w:val="21"/>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00"/>
      <w:u w:val="none"/>
    </w:rPr>
  </w:style>
  <w:style w:type="character" w:customStyle="1" w:styleId="16">
    <w:name w:val="页眉 Char"/>
    <w:basedOn w:val="12"/>
    <w:link w:val="8"/>
    <w:qFormat/>
    <w:uiPriority w:val="0"/>
    <w:rPr>
      <w:rFonts w:ascii="Calibri" w:hAnsi="Calibri"/>
      <w:kern w:val="2"/>
      <w:sz w:val="18"/>
      <w:szCs w:val="18"/>
    </w:rPr>
  </w:style>
  <w:style w:type="character" w:customStyle="1" w:styleId="17">
    <w:name w:val="页脚 Char"/>
    <w:basedOn w:val="12"/>
    <w:link w:val="7"/>
    <w:qFormat/>
    <w:uiPriority w:val="99"/>
    <w:rPr>
      <w:rFonts w:ascii="Calibri" w:hAnsi="Calibri"/>
      <w:kern w:val="2"/>
      <w:sz w:val="18"/>
      <w:szCs w:val="18"/>
    </w:rPr>
  </w:style>
  <w:style w:type="character" w:customStyle="1" w:styleId="18">
    <w:name w:val="bsharetex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14E66-0157-4C40-855A-0952F02BDD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2479</Words>
  <Characters>14135</Characters>
  <Lines>117</Lines>
  <Paragraphs>33</Paragraphs>
  <TotalTime>42</TotalTime>
  <ScaleCrop>false</ScaleCrop>
  <LinksUpToDate>false</LinksUpToDate>
  <CharactersWithSpaces>16581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2019-07-31T05:22:00Z</dcterms:created>
  <dc:creator>喵小姐</dc:creator>
  <cp:lastModifiedBy>Administrator</cp:lastModifiedBy>
  <cp:lastPrinted>2022-01-19T01:53:00Z</cp:lastPrinted>
  <dcterms:modified xsi:type="dcterms:W3CDTF">2022-01-27T01:26:39Z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2B2C5AE2CF1A4BC7A2EF85C3A40E214A</vt:lpwstr>
  </property>
</Properties>
</file>