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eastAsia="方正黑体_GBK" w:cs="方正黑体_GBK"/>
          <w:sz w:val="32"/>
          <w:szCs w:val="32"/>
        </w:rPr>
      </w:pPr>
      <w:r>
        <w:rPr>
          <w:rFonts w:hint="eastAsia" w:eastAsia="方正黑体_GBK" w:cs="方正黑体_GBK"/>
          <w:sz w:val="32"/>
          <w:szCs w:val="32"/>
        </w:rPr>
        <w:t>附件</w:t>
      </w:r>
    </w:p>
    <w:p>
      <w:pPr>
        <w:spacing w:line="700" w:lineRule="exact"/>
        <w:ind w:firstLine="0" w:firstLineChars="0"/>
        <w:jc w:val="center"/>
        <w:rPr>
          <w:rFonts w:eastAsia="方正小标宋_GBK" w:cs="方正小标宋_GBK"/>
          <w:bCs/>
          <w:sz w:val="44"/>
          <w:szCs w:val="44"/>
        </w:rPr>
      </w:pPr>
      <w:bookmarkStart w:id="0" w:name="_GoBack"/>
      <w:r>
        <w:rPr>
          <w:rFonts w:hint="eastAsia" w:eastAsia="方正小标宋_GBK" w:cs="方正小标宋_GBK"/>
          <w:bCs/>
          <w:color w:val="000000"/>
          <w:kern w:val="0"/>
          <w:sz w:val="44"/>
          <w:szCs w:val="44"/>
        </w:rPr>
        <w:fldChar w:fldCharType="begin"/>
      </w:r>
      <w:r>
        <w:rPr>
          <w:rFonts w:hint="eastAsia" w:eastAsia="方正小标宋_GBK" w:cs="方正小标宋_GBK"/>
          <w:bCs/>
          <w:color w:val="000000"/>
          <w:kern w:val="0"/>
          <w:sz w:val="44"/>
          <w:szCs w:val="44"/>
        </w:rPr>
        <w:instrText xml:space="preserve"> HYPERLINK "http://www.ldkf.gov.cn/ldjjkfq/tzgg/202012/64c1a047187d40188e4f923f29d59e14/files/3823263add784047b6f659fdf953a991.docx" \t "http://www.ldkf.gov.cn/ldjjkfq/tzgg/202012/_blank" </w:instrText>
      </w:r>
      <w:r>
        <w:rPr>
          <w:rFonts w:hint="eastAsia" w:eastAsia="方正小标宋_GBK" w:cs="方正小标宋_GBK"/>
          <w:bCs/>
          <w:color w:val="000000"/>
          <w:kern w:val="0"/>
          <w:sz w:val="44"/>
          <w:szCs w:val="44"/>
        </w:rPr>
        <w:fldChar w:fldCharType="separate"/>
      </w:r>
      <w:r>
        <w:rPr>
          <w:rFonts w:hint="eastAsia" w:eastAsia="方正小标宋_GBK" w:cs="方正小标宋_GBK"/>
          <w:bCs/>
          <w:color w:val="000000"/>
          <w:kern w:val="0"/>
          <w:sz w:val="44"/>
          <w:szCs w:val="44"/>
        </w:rPr>
        <w:t>2018年省级环保督察交办环境信访问题办理情况公示表</w:t>
      </w:r>
      <w:r>
        <w:rPr>
          <w:rFonts w:hint="eastAsia" w:eastAsia="方正小标宋_GBK" w:cs="方正小标宋_GBK"/>
          <w:bCs/>
          <w:color w:val="000000"/>
          <w:kern w:val="0"/>
          <w:sz w:val="44"/>
          <w:szCs w:val="44"/>
        </w:rPr>
        <w:fldChar w:fldCharType="end"/>
      </w:r>
      <w:r>
        <w:rPr>
          <w:rFonts w:hint="eastAsia" w:eastAsia="方正小标宋_GBK" w:cs="方正小标宋_GBK"/>
          <w:bCs/>
          <w:color w:val="000000"/>
          <w:kern w:val="0"/>
          <w:sz w:val="44"/>
          <w:szCs w:val="44"/>
          <w:lang w:eastAsia="zh-CN"/>
        </w:rPr>
        <w:t>（</w:t>
      </w:r>
      <w:r>
        <w:rPr>
          <w:rFonts w:hint="eastAsia" w:eastAsia="方正小标宋_GBK" w:cs="方正小标宋_GBK"/>
          <w:bCs/>
          <w:color w:val="000000"/>
          <w:kern w:val="0"/>
          <w:sz w:val="44"/>
          <w:szCs w:val="44"/>
          <w:lang w:val="en-US" w:eastAsia="zh-CN"/>
        </w:rPr>
        <w:t>第四批</w:t>
      </w:r>
      <w:r>
        <w:rPr>
          <w:rFonts w:hint="eastAsia" w:eastAsia="方正小标宋_GBK" w:cs="方正小标宋_GBK"/>
          <w:bCs/>
          <w:color w:val="000000"/>
          <w:kern w:val="0"/>
          <w:sz w:val="44"/>
          <w:szCs w:val="44"/>
          <w:lang w:eastAsia="zh-CN"/>
        </w:rPr>
        <w:t>）</w:t>
      </w:r>
      <w:bookmarkEnd w:id="0"/>
    </w:p>
    <w:tbl>
      <w:tblPr>
        <w:tblStyle w:val="4"/>
        <w:tblW w:w="9271" w:type="dxa"/>
        <w:jc w:val="center"/>
        <w:tblLayout w:type="autofit"/>
        <w:tblCellMar>
          <w:top w:w="0" w:type="dxa"/>
          <w:left w:w="0" w:type="dxa"/>
          <w:bottom w:w="0" w:type="dxa"/>
          <w:right w:w="0" w:type="dxa"/>
        </w:tblCellMar>
      </w:tblPr>
      <w:tblGrid>
        <w:gridCol w:w="581"/>
        <w:gridCol w:w="673"/>
        <w:gridCol w:w="567"/>
        <w:gridCol w:w="630"/>
        <w:gridCol w:w="1867"/>
        <w:gridCol w:w="2358"/>
        <w:gridCol w:w="2595"/>
      </w:tblGrid>
      <w:tr>
        <w:tblPrEx>
          <w:tblCellMar>
            <w:top w:w="0" w:type="dxa"/>
            <w:left w:w="0" w:type="dxa"/>
            <w:bottom w:w="0" w:type="dxa"/>
            <w:right w:w="0" w:type="dxa"/>
          </w:tblCellMar>
        </w:tblPrEx>
        <w:trPr>
          <w:trHeight w:val="115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乡镇/街道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批次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kern w:val="0"/>
                <w:szCs w:val="24"/>
              </w:rPr>
            </w:pPr>
            <w:r>
              <w:rPr>
                <w:rFonts w:hint="eastAsia" w:ascii="方正黑体_GBK" w:hAnsi="方正黑体_GBK" w:eastAsia="方正黑体_GBK" w:cs="方正黑体_GBK"/>
                <w:bCs/>
                <w:color w:val="000000"/>
                <w:kern w:val="0"/>
                <w:szCs w:val="24"/>
              </w:rPr>
              <w:t>受理</w:t>
            </w:r>
          </w:p>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编号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具体交办信访件</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整改时限及要求</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ascii="方正黑体_GBK" w:hAnsi="方正黑体_GBK" w:eastAsia="方正黑体_GBK" w:cs="方正黑体_GBK"/>
                <w:bCs/>
                <w:color w:val="000000"/>
                <w:szCs w:val="24"/>
                <w:lang w:eastAsia="zh-CN"/>
              </w:rPr>
            </w:pPr>
            <w:r>
              <w:rPr>
                <w:rFonts w:hint="eastAsia" w:ascii="方正黑体_GBK" w:hAnsi="方正黑体_GBK" w:eastAsia="方正黑体_GBK" w:cs="方正黑体_GBK"/>
                <w:bCs/>
                <w:color w:val="000000"/>
                <w:kern w:val="0"/>
                <w:szCs w:val="24"/>
                <w:lang w:eastAsia="zh-CN"/>
              </w:rPr>
              <w:t>完成整改情况</w:t>
            </w:r>
          </w:p>
        </w:tc>
      </w:tr>
      <w:tr>
        <w:tblPrEx>
          <w:tblCellMar>
            <w:top w:w="0" w:type="dxa"/>
            <w:left w:w="0" w:type="dxa"/>
            <w:bottom w:w="0" w:type="dxa"/>
            <w:right w:w="0" w:type="dxa"/>
          </w:tblCellMar>
        </w:tblPrEx>
        <w:trPr>
          <w:trHeight w:val="3333" w:hRule="atLeast"/>
          <w:jc w:val="center"/>
        </w:trPr>
        <w:tc>
          <w:tcPr>
            <w:tcW w:w="58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67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雕庄街道</w:t>
            </w:r>
          </w:p>
        </w:tc>
        <w:tc>
          <w:tcPr>
            <w:tcW w:w="56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9</w:t>
            </w:r>
          </w:p>
        </w:tc>
        <w:tc>
          <w:tcPr>
            <w:tcW w:w="63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cs="宋体" w:asciiTheme="minorEastAsia" w:hAnsiTheme="minorEastAsia"/>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19</w:t>
            </w:r>
          </w:p>
        </w:tc>
        <w:tc>
          <w:tcPr>
            <w:tcW w:w="186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常州市环球科技公司，劳动中路355号，里面是一步法浆缸和后整理厂，后整理日吞吐量三十万米，质疑环保手续不全，前几年因偷排废水被处罚过。</w:t>
            </w:r>
          </w:p>
        </w:tc>
        <w:tc>
          <w:tcPr>
            <w:tcW w:w="235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整改时限：2018年5月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整改要求：1、责成雕庄街道按照网格化环境监管要求，做好对该单位的日常巡查工作，及时制止、处置环境污染行为。</w:t>
            </w:r>
          </w:p>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2、天宁区将加强对该单位的执法监管，发现环境违法行为依法从严查处。</w:t>
            </w:r>
          </w:p>
        </w:tc>
        <w:tc>
          <w:tcPr>
            <w:tcW w:w="259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已完成整改，加强对该单位的执法监管，发现环境违法行为依法从严查处。</w:t>
            </w:r>
          </w:p>
        </w:tc>
      </w:tr>
      <w:tr>
        <w:tblPrEx>
          <w:tblCellMar>
            <w:top w:w="0" w:type="dxa"/>
            <w:left w:w="0" w:type="dxa"/>
            <w:bottom w:w="0" w:type="dxa"/>
            <w:right w:w="0" w:type="dxa"/>
          </w:tblCellMar>
        </w:tblPrEx>
        <w:trPr>
          <w:trHeight w:val="295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Chars="0"/>
              <w:jc w:val="center"/>
              <w:rPr>
                <w:rFonts w:asciiTheme="minorEastAsia" w:hAnsiTheme="minorEastAsia"/>
                <w:sz w:val="20"/>
                <w:szCs w:val="20"/>
              </w:rPr>
            </w:pPr>
            <w:r>
              <w:rPr>
                <w:rFonts w:hint="eastAsia" w:asciiTheme="minorEastAsia" w:hAnsiTheme="minorEastAsia"/>
                <w:sz w:val="20"/>
                <w:szCs w:val="20"/>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20"/>
                <w:szCs w:val="20"/>
                <w:u w:val="none"/>
                <w:lang w:val="en-US" w:eastAsia="zh-CN" w:bidi="ar"/>
              </w:rPr>
              <w:t>开发区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sz w:val="20"/>
                <w:szCs w:val="20"/>
                <w:lang w:val="en-US"/>
              </w:rPr>
            </w:pPr>
            <w:r>
              <w:rPr>
                <w:rFonts w:hint="eastAsia" w:ascii="宋体" w:hAnsi="宋体" w:eastAsia="宋体" w:cs="宋体"/>
                <w:i w:val="0"/>
                <w:color w:val="000000"/>
                <w:kern w:val="0"/>
                <w:sz w:val="20"/>
                <w:szCs w:val="20"/>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20"/>
                <w:szCs w:val="20"/>
                <w:u w:val="none"/>
                <w:lang w:val="en-US" w:eastAsia="zh-CN" w:bidi="ar"/>
              </w:rPr>
              <w:t>东青镇的镇上垃圾中转站对面的水泥砖厂、黑沙厂粉尘扰民。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整改时限：2018年7月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改要求：1、针对常州市瑞星物资回收有限公司未采取有效措施减少内部物料堆存、传输、装卸等环节产生的粉尘排放的环境违法行为，区环保局对常州市瑞星物资回收有限公司进行立案处理（立案号：常天郑2018033号）。</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2、责成郑陆镇按照网格化环境监管要求，做好对上述单位的日常巡查工作，及时制止、处置环境污染行为。</w:t>
            </w:r>
          </w:p>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20"/>
                <w:szCs w:val="20"/>
                <w:u w:val="none"/>
                <w:lang w:val="en-US" w:eastAsia="zh-CN" w:bidi="ar"/>
              </w:rPr>
              <w:t>3、天宁区将加强现场监管，发现环境违法行为依法从严查处。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sz w:val="20"/>
                <w:szCs w:val="20"/>
              </w:rPr>
            </w:pPr>
            <w:r>
              <w:rPr>
                <w:rFonts w:hint="eastAsia" w:ascii="宋体" w:hAnsi="宋体" w:eastAsia="宋体" w:cs="宋体"/>
                <w:i w:val="0"/>
                <w:color w:val="000000"/>
                <w:kern w:val="0"/>
                <w:sz w:val="20"/>
                <w:szCs w:val="20"/>
                <w:u w:val="none"/>
                <w:lang w:val="en-US" w:eastAsia="zh-CN" w:bidi="ar"/>
              </w:rPr>
              <w:t>已完成整改，常环天行罚〔2018〕64号处罚决定书已下达，责令立即改正。目前常州市瑞星物资回收有限公司已关停。</w:t>
            </w:r>
          </w:p>
        </w:tc>
      </w:tr>
      <w:tr>
        <w:tblPrEx>
          <w:tblCellMar>
            <w:top w:w="0" w:type="dxa"/>
            <w:left w:w="0" w:type="dxa"/>
            <w:bottom w:w="0" w:type="dxa"/>
            <w:right w:w="0" w:type="dxa"/>
          </w:tblCellMar>
        </w:tblPrEx>
        <w:trPr>
          <w:trHeight w:val="2951" w:hRule="atLeast"/>
          <w:jc w:val="center"/>
        </w:trPr>
        <w:tc>
          <w:tcPr>
            <w:tcW w:w="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val="en-US" w:eastAsia="zh-CN"/>
              </w:rPr>
              <w:t>3</w:t>
            </w:r>
          </w:p>
        </w:tc>
        <w:tc>
          <w:tcPr>
            <w:tcW w:w="6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郑陆镇</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cs="宋体" w:asciiTheme="minorEastAsia" w:hAnsiTheme="minorEastAsia"/>
                <w:color w:val="000000"/>
                <w:kern w:val="0"/>
                <w:sz w:val="20"/>
                <w:szCs w:val="20"/>
                <w:lang w:val="en-US"/>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6</w:t>
            </w:r>
          </w:p>
        </w:tc>
        <w:tc>
          <w:tcPr>
            <w:tcW w:w="18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郑陆省锁线武澄科技工业园以南50米地块有一“水泥制品厂”，粉尘污染。</w:t>
            </w:r>
          </w:p>
        </w:tc>
        <w:tc>
          <w:tcPr>
            <w:tcW w:w="23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整改时限：2018年6月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改要求：1、针对该单位水泥预购件项目生产地点发生重大变动未向环保部门重新报批环评文件需配套建设的环境保护设施未建成即投产、物料堆场未采取有效措施，控制减少粉尘排放的环境违法行为，区环保局对常州市峰华水泥构件有限公司进行立案处理（立案号：常天郑2018025号）。</w:t>
            </w:r>
          </w:p>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2、天宁区将加大环境监管力度，督促企业全面落实环境保护主体责任，加强现场管理，确保各项环保措施落实到位。</w:t>
            </w:r>
          </w:p>
        </w:tc>
        <w:tc>
          <w:tcPr>
            <w:tcW w:w="25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color w:val="000000"/>
                <w:kern w:val="0"/>
                <w:sz w:val="18"/>
                <w:szCs w:val="18"/>
                <w:u w:val="none"/>
                <w:lang w:val="en-US" w:eastAsia="zh-CN" w:bidi="ar"/>
              </w:rPr>
              <w:t>已完成整改，2018年6月1日下达常环天行罚〔2018〕46号处罚决定书，项目需配套建设的环境保护设施未建成、未经验收，建设项目即已投入生产的违法行为责令限期六十日内改正；未采取密闭、围挡、遮盖等措施减少粉尘的排放的违法行为责令立即改正。目前该单位水泥预购件项目已停止生产。</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4755"/>
    <w:rsid w:val="004B69DC"/>
    <w:rsid w:val="0BD73013"/>
    <w:rsid w:val="11CB2FE6"/>
    <w:rsid w:val="24EE743E"/>
    <w:rsid w:val="2BC776B5"/>
    <w:rsid w:val="2E3F40CD"/>
    <w:rsid w:val="420C4755"/>
    <w:rsid w:val="509D284B"/>
    <w:rsid w:val="549430CB"/>
    <w:rsid w:val="59516163"/>
    <w:rsid w:val="671B5DA9"/>
    <w:rsid w:val="76EF5B5F"/>
    <w:rsid w:val="7DD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2323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323232"/>
      <w:u w:val="none"/>
    </w:rPr>
  </w:style>
  <w:style w:type="character" w:styleId="11">
    <w:name w:val="HTML Code"/>
    <w:basedOn w:val="5"/>
    <w:qFormat/>
    <w:uiPriority w:val="0"/>
    <w:rPr>
      <w:rFonts w:ascii="Courier New" w:hAnsi="Courier New"/>
      <w:sz w:val="20"/>
    </w:rPr>
  </w:style>
  <w:style w:type="character" w:styleId="12">
    <w:name w:val="HTML Cite"/>
    <w:basedOn w:val="5"/>
    <w:qFormat/>
    <w:uiPriority w:val="0"/>
  </w:style>
  <w:style w:type="character" w:customStyle="1" w:styleId="13">
    <w:name w:val="datetime2"/>
    <w:basedOn w:val="5"/>
    <w:qFormat/>
    <w:uiPriority w:val="0"/>
    <w:rPr>
      <w:color w:val="9A9A9A"/>
    </w:rPr>
  </w:style>
  <w:style w:type="character" w:customStyle="1" w:styleId="14">
    <w:name w:val="datetime3"/>
    <w:basedOn w:val="5"/>
    <w:qFormat/>
    <w:uiPriority w:val="0"/>
    <w:rPr>
      <w:color w:val="999999"/>
    </w:rPr>
  </w:style>
  <w:style w:type="character" w:customStyle="1" w:styleId="15">
    <w:name w:val="time"/>
    <w:basedOn w:val="5"/>
    <w:qFormat/>
    <w:uiPriority w:val="0"/>
    <w:rPr>
      <w:b/>
      <w:color w:val="FF0000"/>
    </w:rPr>
  </w:style>
  <w:style w:type="character" w:customStyle="1" w:styleId="16">
    <w:name w:val="index_num"/>
    <w:basedOn w:val="5"/>
    <w:qFormat/>
    <w:uiPriority w:val="0"/>
    <w:rPr>
      <w:b/>
      <w:color w:val="FFFFFF"/>
      <w:bdr w:val="single" w:color="3396F2" w:sz="6" w:space="0"/>
      <w:shd w:val="clear" w:fill="3396F2"/>
    </w:rPr>
  </w:style>
  <w:style w:type="character" w:customStyle="1" w:styleId="17">
    <w:name w:val="bm"/>
    <w:basedOn w:val="5"/>
    <w:qFormat/>
    <w:uiPriority w:val="0"/>
    <w:rPr>
      <w:b/>
      <w:color w:val="FF0000"/>
    </w:rPr>
  </w:style>
  <w:style w:type="character" w:customStyle="1" w:styleId="18">
    <w:name w:val="datetime"/>
    <w:basedOn w:val="5"/>
    <w:qFormat/>
    <w:uiPriority w:val="0"/>
    <w:rPr>
      <w:color w:val="9A9A9A"/>
    </w:rPr>
  </w:style>
  <w:style w:type="character" w:customStyle="1" w:styleId="19">
    <w:name w:val="datetime1"/>
    <w:basedOn w:val="5"/>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2020-12-18T03:45:00Z</dcterms:created>
  <dc:creator>admin</dc:creator>
  <cp:lastModifiedBy>格桑</cp:lastModifiedBy>
  <dcterms:modified xsi:type="dcterms:W3CDTF">2021-07-08T01:56:33Z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259129609_cloud</vt:lpwstr>
  </property>
  <property fmtid="{D5CDD505-2E9C-101B-9397-08002B2CF9AE}" pid="4" name="ICV">
    <vt:lpwstr>6B5207D9B5B646B2A44785F092A39D04</vt:lpwstr>
  </property>
</Properties>
</file>