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常州市税务部门</w:t>
      </w:r>
      <w:r>
        <w:rPr>
          <w:rFonts w:hint="eastAsia" w:ascii="方正小标宋简体" w:eastAsia="方正小标宋简体"/>
          <w:sz w:val="36"/>
          <w:szCs w:val="36"/>
        </w:rPr>
        <w:t>公共服务事项清单（</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项）</w:t>
      </w:r>
    </w:p>
    <w:tbl>
      <w:tblPr>
        <w:tblStyle w:val="6"/>
        <w:tblW w:w="15426" w:type="dxa"/>
        <w:tblInd w:w="107" w:type="dxa"/>
        <w:tblLayout w:type="fixed"/>
        <w:tblCellMar>
          <w:top w:w="0" w:type="dxa"/>
          <w:left w:w="108" w:type="dxa"/>
          <w:bottom w:w="0" w:type="dxa"/>
          <w:right w:w="108" w:type="dxa"/>
        </w:tblCellMar>
      </w:tblPr>
      <w:tblGrid>
        <w:gridCol w:w="934"/>
        <w:gridCol w:w="1483"/>
        <w:gridCol w:w="1533"/>
        <w:gridCol w:w="2934"/>
        <w:gridCol w:w="4483"/>
        <w:gridCol w:w="1220"/>
        <w:gridCol w:w="1309"/>
        <w:gridCol w:w="1530"/>
      </w:tblGrid>
      <w:tr>
        <w:tblPrEx>
          <w:tblLayout w:type="fixed"/>
          <w:tblCellMar>
            <w:top w:w="0" w:type="dxa"/>
            <w:left w:w="108" w:type="dxa"/>
            <w:bottom w:w="0" w:type="dxa"/>
            <w:right w:w="108" w:type="dxa"/>
          </w:tblCellMar>
        </w:tblPrEx>
        <w:trPr>
          <w:trHeight w:val="692" w:hRule="atLeast"/>
          <w:tblHeader/>
        </w:trPr>
        <w:tc>
          <w:tcPr>
            <w:tcW w:w="934"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jc w:val="center"/>
              <w:rPr>
                <w:rFonts w:hint="eastAsia" w:ascii="黑体" w:hAnsi="黑体" w:eastAsia="黑体" w:cs="宋体"/>
                <w:color w:val="000000"/>
                <w:kern w:val="0"/>
                <w:sz w:val="24"/>
                <w:szCs w:val="24"/>
                <w:highlight w:val="none"/>
                <w:shd w:val="clear" w:color="auto" w:fill="auto"/>
                <w:lang w:eastAsia="zh-CN"/>
              </w:rPr>
            </w:pPr>
            <w:r>
              <w:rPr>
                <w:rFonts w:hint="eastAsia" w:ascii="黑体" w:hAnsi="黑体" w:eastAsia="黑体" w:cs="宋体"/>
                <w:color w:val="000000"/>
                <w:kern w:val="0"/>
                <w:sz w:val="24"/>
                <w:szCs w:val="24"/>
                <w:highlight w:val="none"/>
                <w:shd w:val="clear" w:color="auto" w:fill="auto"/>
                <w:lang w:eastAsia="zh-CN"/>
              </w:rPr>
              <w:t>序号</w:t>
            </w:r>
          </w:p>
        </w:tc>
        <w:tc>
          <w:tcPr>
            <w:tcW w:w="148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jc w:val="center"/>
              <w:rPr>
                <w:rFonts w:ascii="黑体" w:hAnsi="黑体" w:eastAsia="黑体" w:cs="宋体"/>
                <w:color w:val="000000"/>
                <w:kern w:val="0"/>
                <w:sz w:val="24"/>
                <w:szCs w:val="24"/>
                <w:highlight w:val="none"/>
                <w:shd w:val="clear" w:color="auto" w:fill="auto"/>
              </w:rPr>
            </w:pPr>
            <w:r>
              <w:rPr>
                <w:rFonts w:hint="eastAsia" w:ascii="黑体" w:hAnsi="黑体" w:eastAsia="黑体" w:cs="宋体"/>
                <w:color w:val="000000"/>
                <w:kern w:val="0"/>
                <w:sz w:val="24"/>
                <w:szCs w:val="24"/>
                <w:highlight w:val="none"/>
                <w:shd w:val="clear" w:color="auto" w:fill="auto"/>
              </w:rPr>
              <w:t>服务编码</w:t>
            </w:r>
          </w:p>
        </w:tc>
        <w:tc>
          <w:tcPr>
            <w:tcW w:w="1533"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widowControl/>
              <w:jc w:val="center"/>
              <w:rPr>
                <w:rFonts w:ascii="黑体" w:hAnsi="黑体" w:eastAsia="黑体" w:cs="宋体"/>
                <w:color w:val="000000"/>
                <w:kern w:val="0"/>
                <w:sz w:val="24"/>
                <w:szCs w:val="24"/>
                <w:highlight w:val="none"/>
                <w:shd w:val="clear" w:color="auto" w:fill="auto"/>
              </w:rPr>
            </w:pPr>
            <w:r>
              <w:rPr>
                <w:rFonts w:hint="eastAsia" w:ascii="黑体" w:hAnsi="黑体" w:eastAsia="黑体" w:cs="宋体"/>
                <w:color w:val="000000"/>
                <w:kern w:val="0"/>
                <w:sz w:val="24"/>
                <w:szCs w:val="24"/>
                <w:highlight w:val="none"/>
                <w:shd w:val="clear" w:color="auto" w:fill="auto"/>
              </w:rPr>
              <w:t>服务名称</w:t>
            </w:r>
          </w:p>
        </w:tc>
        <w:tc>
          <w:tcPr>
            <w:tcW w:w="2934"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widowControl/>
              <w:jc w:val="center"/>
              <w:rPr>
                <w:rFonts w:ascii="黑体" w:hAnsi="黑体" w:eastAsia="黑体" w:cs="宋体"/>
                <w:color w:val="000000"/>
                <w:kern w:val="0"/>
                <w:sz w:val="24"/>
                <w:szCs w:val="24"/>
                <w:highlight w:val="none"/>
                <w:shd w:val="clear" w:color="auto" w:fill="auto"/>
              </w:rPr>
            </w:pPr>
            <w:r>
              <w:rPr>
                <w:rFonts w:hint="eastAsia" w:ascii="黑体" w:hAnsi="黑体" w:eastAsia="黑体" w:cs="宋体"/>
                <w:color w:val="000000"/>
                <w:kern w:val="0"/>
                <w:sz w:val="24"/>
                <w:szCs w:val="24"/>
                <w:highlight w:val="none"/>
                <w:shd w:val="clear" w:color="auto" w:fill="auto"/>
              </w:rPr>
              <w:t>服务内容</w:t>
            </w:r>
          </w:p>
        </w:tc>
        <w:tc>
          <w:tcPr>
            <w:tcW w:w="4483"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widowControl/>
              <w:jc w:val="center"/>
              <w:rPr>
                <w:rFonts w:ascii="黑体" w:hAnsi="黑体" w:eastAsia="黑体" w:cs="宋体"/>
                <w:color w:val="000000"/>
                <w:kern w:val="0"/>
                <w:sz w:val="24"/>
                <w:szCs w:val="24"/>
                <w:highlight w:val="none"/>
                <w:shd w:val="clear" w:color="auto" w:fill="auto"/>
              </w:rPr>
            </w:pPr>
            <w:r>
              <w:rPr>
                <w:rFonts w:hint="eastAsia" w:ascii="黑体" w:hAnsi="黑体" w:eastAsia="黑体" w:cs="宋体"/>
                <w:color w:val="000000"/>
                <w:kern w:val="0"/>
                <w:sz w:val="24"/>
                <w:szCs w:val="24"/>
                <w:highlight w:val="none"/>
                <w:shd w:val="clear" w:color="auto" w:fill="auto"/>
              </w:rPr>
              <w:t>服务依据</w:t>
            </w:r>
          </w:p>
        </w:tc>
        <w:tc>
          <w:tcPr>
            <w:tcW w:w="1220"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widowControl/>
              <w:jc w:val="center"/>
              <w:rPr>
                <w:rFonts w:ascii="黑体" w:hAnsi="黑体" w:eastAsia="黑体" w:cs="宋体"/>
                <w:color w:val="000000"/>
                <w:kern w:val="0"/>
                <w:sz w:val="24"/>
                <w:szCs w:val="24"/>
                <w:highlight w:val="none"/>
                <w:shd w:val="clear" w:color="auto" w:fill="auto"/>
              </w:rPr>
            </w:pPr>
            <w:r>
              <w:rPr>
                <w:rFonts w:hint="eastAsia" w:ascii="黑体" w:hAnsi="黑体" w:eastAsia="黑体" w:cs="宋体"/>
                <w:color w:val="000000"/>
                <w:kern w:val="0"/>
                <w:sz w:val="24"/>
                <w:szCs w:val="24"/>
                <w:highlight w:val="none"/>
                <w:shd w:val="clear" w:color="auto" w:fill="auto"/>
              </w:rPr>
              <w:t>服务方式</w:t>
            </w:r>
          </w:p>
        </w:tc>
        <w:tc>
          <w:tcPr>
            <w:tcW w:w="1309"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widowControl/>
              <w:jc w:val="center"/>
              <w:rPr>
                <w:rFonts w:ascii="黑体" w:hAnsi="黑体" w:eastAsia="黑体" w:cs="宋体"/>
                <w:color w:val="000000"/>
                <w:kern w:val="0"/>
                <w:sz w:val="24"/>
                <w:szCs w:val="24"/>
                <w:highlight w:val="none"/>
                <w:shd w:val="clear" w:color="auto" w:fill="auto"/>
              </w:rPr>
            </w:pPr>
            <w:r>
              <w:rPr>
                <w:rFonts w:hint="eastAsia" w:ascii="黑体" w:hAnsi="黑体" w:eastAsia="黑体" w:cs="宋体"/>
                <w:color w:val="000000"/>
                <w:kern w:val="0"/>
                <w:sz w:val="24"/>
                <w:szCs w:val="24"/>
                <w:highlight w:val="none"/>
                <w:shd w:val="clear" w:color="auto" w:fill="auto"/>
              </w:rPr>
              <w:t>服务类别</w:t>
            </w:r>
          </w:p>
        </w:tc>
        <w:tc>
          <w:tcPr>
            <w:tcW w:w="1530"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widowControl/>
              <w:jc w:val="center"/>
              <w:rPr>
                <w:rFonts w:ascii="黑体" w:hAnsi="黑体" w:eastAsia="黑体" w:cs="宋体"/>
                <w:color w:val="000000"/>
                <w:kern w:val="0"/>
                <w:sz w:val="24"/>
                <w:szCs w:val="24"/>
                <w:highlight w:val="none"/>
                <w:shd w:val="clear" w:color="auto" w:fill="auto"/>
              </w:rPr>
            </w:pPr>
            <w:r>
              <w:rPr>
                <w:rFonts w:hint="eastAsia" w:ascii="黑体" w:hAnsi="黑体" w:eastAsia="黑体" w:cs="宋体"/>
                <w:color w:val="000000"/>
                <w:kern w:val="0"/>
                <w:sz w:val="24"/>
                <w:szCs w:val="24"/>
                <w:highlight w:val="none"/>
                <w:shd w:val="clear" w:color="auto" w:fill="auto"/>
              </w:rPr>
              <w:t>承办机构</w:t>
            </w:r>
          </w:p>
        </w:tc>
      </w:tr>
      <w:tr>
        <w:tblPrEx>
          <w:tblLayout w:type="fixed"/>
          <w:tblCellMar>
            <w:top w:w="0" w:type="dxa"/>
            <w:left w:w="108" w:type="dxa"/>
            <w:bottom w:w="0" w:type="dxa"/>
            <w:right w:w="108" w:type="dxa"/>
          </w:tblCellMar>
        </w:tblPrEx>
        <w:trPr>
          <w:trHeight w:val="1400" w:hRule="atLeast"/>
        </w:trPr>
        <w:tc>
          <w:tcPr>
            <w:tcW w:w="9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eastAsia="宋体"/>
                <w:color w:val="000000"/>
                <w:kern w:val="0"/>
                <w:sz w:val="24"/>
                <w:szCs w:val="24"/>
                <w:lang w:val="en-US" w:eastAsia="zh-CN"/>
              </w:rPr>
            </w:pPr>
            <w:r>
              <w:rPr>
                <w:rFonts w:hint="eastAsia"/>
                <w:color w:val="000000"/>
                <w:kern w:val="0"/>
                <w:sz w:val="24"/>
                <w:szCs w:val="24"/>
                <w:lang w:val="en-US" w:eastAsia="zh-CN"/>
              </w:rPr>
              <w:t>1</w:t>
            </w:r>
          </w:p>
        </w:tc>
        <w:tc>
          <w:tcPr>
            <w:tcW w:w="148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color w:val="000000"/>
                <w:kern w:val="0"/>
                <w:sz w:val="24"/>
                <w:szCs w:val="24"/>
              </w:rPr>
            </w:pPr>
            <w:r>
              <w:rPr>
                <w:rFonts w:hint="eastAsia"/>
                <w:color w:val="000000"/>
                <w:kern w:val="0"/>
                <w:sz w:val="24"/>
                <w:szCs w:val="24"/>
                <w:lang w:val="en-US" w:eastAsia="zh-CN"/>
              </w:rPr>
              <w:t>000</w:t>
            </w:r>
            <w:r>
              <w:rPr>
                <w:rFonts w:hint="eastAsia"/>
                <w:color w:val="000000"/>
                <w:kern w:val="0"/>
                <w:sz w:val="24"/>
                <w:szCs w:val="24"/>
              </w:rPr>
              <w:t>0401001</w:t>
            </w:r>
          </w:p>
        </w:tc>
        <w:tc>
          <w:tcPr>
            <w:tcW w:w="153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纳税咨询</w:t>
            </w:r>
          </w:p>
        </w:tc>
        <w:tc>
          <w:tcPr>
            <w:tcW w:w="29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税务机关通过对外公开的咨询服务电话或者面对面的咨询方式解答公众和纳税人提出的涉税问题</w:t>
            </w:r>
          </w:p>
        </w:tc>
        <w:tc>
          <w:tcPr>
            <w:tcW w:w="448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《税收征收管理法》第七条:税务机关应当广泛宣传税收法律、行政法规，普及纳税知识，无偿地为纳税人提供纳税咨询服务。</w:t>
            </w:r>
          </w:p>
        </w:tc>
        <w:tc>
          <w:tcPr>
            <w:tcW w:w="122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依申请</w:t>
            </w:r>
          </w:p>
        </w:tc>
        <w:tc>
          <w:tcPr>
            <w:tcW w:w="130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咨询查询类</w:t>
            </w:r>
          </w:p>
        </w:tc>
        <w:tc>
          <w:tcPr>
            <w:tcW w:w="153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市、县</w:t>
            </w:r>
            <w:r>
              <w:rPr>
                <w:rFonts w:hint="eastAsia" w:ascii="宋体" w:hAnsi="宋体" w:cs="宋体"/>
                <w:color w:val="000000"/>
                <w:kern w:val="0"/>
                <w:szCs w:val="21"/>
                <w:lang w:eastAsia="zh-CN"/>
              </w:rPr>
              <w:t>税务部门</w:t>
            </w:r>
          </w:p>
        </w:tc>
      </w:tr>
      <w:tr>
        <w:tblPrEx>
          <w:tblLayout w:type="fixed"/>
          <w:tblCellMar>
            <w:top w:w="0" w:type="dxa"/>
            <w:left w:w="108" w:type="dxa"/>
            <w:bottom w:w="0" w:type="dxa"/>
            <w:right w:w="108" w:type="dxa"/>
          </w:tblCellMar>
        </w:tblPrEx>
        <w:trPr>
          <w:trHeight w:val="1743" w:hRule="atLeast"/>
        </w:trPr>
        <w:tc>
          <w:tcPr>
            <w:tcW w:w="934"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rFonts w:hint="eastAsia" w:eastAsia="宋体"/>
                <w:kern w:val="0"/>
                <w:sz w:val="24"/>
                <w:szCs w:val="24"/>
                <w:lang w:val="en-US" w:eastAsia="zh-CN"/>
              </w:rPr>
            </w:pPr>
            <w:r>
              <w:rPr>
                <w:rFonts w:hint="eastAsia"/>
                <w:kern w:val="0"/>
                <w:sz w:val="24"/>
                <w:szCs w:val="24"/>
                <w:lang w:val="en-US" w:eastAsia="zh-CN"/>
              </w:rPr>
              <w:t>2</w:t>
            </w:r>
          </w:p>
        </w:tc>
        <w:tc>
          <w:tcPr>
            <w:tcW w:w="1483"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kern w:val="0"/>
                <w:sz w:val="24"/>
                <w:szCs w:val="24"/>
              </w:rPr>
            </w:pPr>
            <w:r>
              <w:rPr>
                <w:rFonts w:hint="eastAsia"/>
                <w:color w:val="000000"/>
                <w:kern w:val="0"/>
                <w:sz w:val="24"/>
                <w:szCs w:val="24"/>
                <w:lang w:val="en-US" w:eastAsia="zh-CN"/>
              </w:rPr>
              <w:t>000</w:t>
            </w:r>
            <w:r>
              <w:rPr>
                <w:rFonts w:hint="eastAsia"/>
                <w:kern w:val="0"/>
                <w:sz w:val="24"/>
                <w:szCs w:val="24"/>
              </w:rPr>
              <w:t>0401002</w:t>
            </w:r>
          </w:p>
        </w:tc>
        <w:tc>
          <w:tcPr>
            <w:tcW w:w="1533"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涉税公开信息查询</w:t>
            </w:r>
          </w:p>
        </w:tc>
        <w:tc>
          <w:tcPr>
            <w:tcW w:w="2934"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税务机关按照办税公开要求的范围、程序和时限，公开相关涉税事项和具体规定，并提供查询服务。</w:t>
            </w:r>
          </w:p>
        </w:tc>
        <w:tc>
          <w:tcPr>
            <w:tcW w:w="4483" w:type="dxa"/>
            <w:tcBorders>
              <w:top w:val="single" w:color="auto" w:sz="4" w:space="0"/>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《全国税务机关纳税服务规范</w:t>
            </w:r>
            <w:r>
              <w:rPr>
                <w:color w:val="000000"/>
                <w:kern w:val="0"/>
                <w:szCs w:val="21"/>
              </w:rPr>
              <w:t>2.3</w:t>
            </w:r>
            <w:r>
              <w:rPr>
                <w:rFonts w:hint="eastAsia" w:ascii="宋体" w:hAnsi="宋体" w:cs="宋体"/>
                <w:color w:val="000000"/>
                <w:kern w:val="0"/>
                <w:szCs w:val="21"/>
              </w:rPr>
              <w:t>》：税务机关按照办税公开要求的范围、程序和时限，公开相关涉税事项和具体规定，并提供查询服务</w:t>
            </w:r>
          </w:p>
        </w:tc>
        <w:tc>
          <w:tcPr>
            <w:tcW w:w="122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依申请</w:t>
            </w:r>
          </w:p>
        </w:tc>
        <w:tc>
          <w:tcPr>
            <w:tcW w:w="1309"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咨询查询类</w:t>
            </w:r>
          </w:p>
        </w:tc>
        <w:tc>
          <w:tcPr>
            <w:tcW w:w="153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w:t>
            </w:r>
            <w:r>
              <w:rPr>
                <w:rFonts w:hint="eastAsia" w:ascii="宋体" w:hAnsi="宋体" w:cs="宋体"/>
                <w:color w:val="000000"/>
                <w:kern w:val="0"/>
                <w:szCs w:val="21"/>
                <w:lang w:eastAsia="zh-CN"/>
              </w:rPr>
              <w:t>税务部门</w:t>
            </w:r>
          </w:p>
        </w:tc>
      </w:tr>
      <w:tr>
        <w:tblPrEx>
          <w:tblLayout w:type="fixed"/>
          <w:tblCellMar>
            <w:top w:w="0" w:type="dxa"/>
            <w:left w:w="108" w:type="dxa"/>
            <w:bottom w:w="0" w:type="dxa"/>
            <w:right w:w="108" w:type="dxa"/>
          </w:tblCellMar>
        </w:tblPrEx>
        <w:trPr>
          <w:trHeight w:val="1087" w:hRule="atLeast"/>
        </w:trPr>
        <w:tc>
          <w:tcPr>
            <w:tcW w:w="9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eastAsia="宋体"/>
                <w:color w:val="000000"/>
                <w:kern w:val="0"/>
                <w:sz w:val="24"/>
                <w:szCs w:val="24"/>
                <w:lang w:val="en-US" w:eastAsia="zh-CN"/>
              </w:rPr>
            </w:pPr>
            <w:r>
              <w:rPr>
                <w:rFonts w:hint="eastAsia"/>
                <w:color w:val="000000"/>
                <w:kern w:val="0"/>
                <w:sz w:val="24"/>
                <w:szCs w:val="24"/>
                <w:lang w:val="en-US" w:eastAsia="zh-CN"/>
              </w:rPr>
              <w:t>3</w:t>
            </w:r>
          </w:p>
        </w:tc>
        <w:tc>
          <w:tcPr>
            <w:tcW w:w="148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color w:val="000000"/>
                <w:kern w:val="0"/>
                <w:sz w:val="24"/>
                <w:szCs w:val="24"/>
              </w:rPr>
            </w:pPr>
            <w:r>
              <w:rPr>
                <w:rFonts w:hint="eastAsia"/>
                <w:color w:val="000000"/>
                <w:kern w:val="0"/>
                <w:sz w:val="24"/>
                <w:szCs w:val="24"/>
                <w:lang w:val="en-US" w:eastAsia="zh-CN"/>
              </w:rPr>
              <w:t>000</w:t>
            </w:r>
            <w:r>
              <w:rPr>
                <w:rFonts w:hint="eastAsia"/>
                <w:color w:val="000000"/>
                <w:kern w:val="0"/>
                <w:sz w:val="24"/>
                <w:szCs w:val="24"/>
              </w:rPr>
              <w:t>0402001</w:t>
            </w:r>
          </w:p>
        </w:tc>
        <w:tc>
          <w:tcPr>
            <w:tcW w:w="153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税收宣传（日常宣传）</w:t>
            </w:r>
          </w:p>
        </w:tc>
        <w:tc>
          <w:tcPr>
            <w:tcW w:w="29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按照法律法规及上级要求开展日常宣传活动。</w:t>
            </w:r>
          </w:p>
        </w:tc>
        <w:tc>
          <w:tcPr>
            <w:tcW w:w="448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《税收征收管理法》第七条:税务机关应当广泛宣传税收法律、行政法规，普及纳税知识，无偿地为纳税人提供纳税咨询服务。</w:t>
            </w:r>
          </w:p>
        </w:tc>
        <w:tc>
          <w:tcPr>
            <w:tcW w:w="122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主动服务</w:t>
            </w:r>
          </w:p>
        </w:tc>
        <w:tc>
          <w:tcPr>
            <w:tcW w:w="130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宣传培训类</w:t>
            </w:r>
          </w:p>
        </w:tc>
        <w:tc>
          <w:tcPr>
            <w:tcW w:w="153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市、县</w:t>
            </w:r>
            <w:r>
              <w:rPr>
                <w:rFonts w:hint="eastAsia" w:ascii="宋体" w:hAnsi="宋体" w:cs="宋体"/>
                <w:color w:val="000000"/>
                <w:kern w:val="0"/>
                <w:szCs w:val="21"/>
                <w:lang w:eastAsia="zh-CN"/>
              </w:rPr>
              <w:t>税务部门</w:t>
            </w:r>
          </w:p>
        </w:tc>
      </w:tr>
      <w:tr>
        <w:tblPrEx>
          <w:tblLayout w:type="fixed"/>
          <w:tblCellMar>
            <w:top w:w="0" w:type="dxa"/>
            <w:left w:w="108" w:type="dxa"/>
            <w:bottom w:w="0" w:type="dxa"/>
            <w:right w:w="108" w:type="dxa"/>
          </w:tblCellMar>
        </w:tblPrEx>
        <w:trPr>
          <w:trHeight w:val="1087" w:hRule="atLeast"/>
        </w:trPr>
        <w:tc>
          <w:tcPr>
            <w:tcW w:w="9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eastAsia="宋体"/>
                <w:color w:val="000000"/>
                <w:kern w:val="0"/>
                <w:sz w:val="24"/>
                <w:szCs w:val="24"/>
                <w:lang w:val="en-US" w:eastAsia="zh-CN"/>
              </w:rPr>
            </w:pPr>
            <w:r>
              <w:rPr>
                <w:rFonts w:hint="eastAsia"/>
                <w:color w:val="000000"/>
                <w:kern w:val="0"/>
                <w:sz w:val="24"/>
                <w:szCs w:val="24"/>
                <w:lang w:val="en-US" w:eastAsia="zh-CN"/>
              </w:rPr>
              <w:t>4</w:t>
            </w:r>
          </w:p>
        </w:tc>
        <w:tc>
          <w:tcPr>
            <w:tcW w:w="148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color w:val="000000"/>
                <w:kern w:val="0"/>
                <w:sz w:val="24"/>
                <w:szCs w:val="24"/>
              </w:rPr>
            </w:pPr>
            <w:r>
              <w:rPr>
                <w:rFonts w:hint="eastAsia"/>
                <w:color w:val="000000"/>
                <w:kern w:val="0"/>
                <w:sz w:val="24"/>
                <w:szCs w:val="24"/>
                <w:lang w:val="en-US" w:eastAsia="zh-CN"/>
              </w:rPr>
              <w:t>000</w:t>
            </w:r>
            <w:r>
              <w:rPr>
                <w:rFonts w:hint="eastAsia"/>
                <w:color w:val="000000"/>
                <w:kern w:val="0"/>
                <w:sz w:val="24"/>
                <w:szCs w:val="24"/>
              </w:rPr>
              <w:t>0402002</w:t>
            </w:r>
          </w:p>
        </w:tc>
        <w:tc>
          <w:tcPr>
            <w:tcW w:w="153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税收宣传（专项宣传）</w:t>
            </w:r>
          </w:p>
        </w:tc>
        <w:tc>
          <w:tcPr>
            <w:tcW w:w="29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按照法律法规及上级要求开展专项税收宣传活动。</w:t>
            </w:r>
          </w:p>
        </w:tc>
        <w:tc>
          <w:tcPr>
            <w:tcW w:w="448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《税收征收管理法》第七条:税务机关应当广泛宣传税收法律、行政法规，普及纳税知识，无偿地为纳税人提供纳税咨询服务。</w:t>
            </w:r>
          </w:p>
        </w:tc>
        <w:tc>
          <w:tcPr>
            <w:tcW w:w="122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主动服务</w:t>
            </w:r>
          </w:p>
        </w:tc>
        <w:tc>
          <w:tcPr>
            <w:tcW w:w="130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宣传培训类</w:t>
            </w:r>
          </w:p>
        </w:tc>
        <w:tc>
          <w:tcPr>
            <w:tcW w:w="153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市、县</w:t>
            </w:r>
            <w:r>
              <w:rPr>
                <w:rFonts w:hint="eastAsia" w:ascii="宋体" w:hAnsi="宋体" w:cs="宋体"/>
                <w:color w:val="000000"/>
                <w:kern w:val="0"/>
                <w:szCs w:val="21"/>
                <w:lang w:eastAsia="zh-CN"/>
              </w:rPr>
              <w:t>税务部门</w:t>
            </w:r>
          </w:p>
        </w:tc>
      </w:tr>
      <w:tr>
        <w:tblPrEx>
          <w:tblLayout w:type="fixed"/>
          <w:tblCellMar>
            <w:top w:w="0" w:type="dxa"/>
            <w:left w:w="108" w:type="dxa"/>
            <w:bottom w:w="0" w:type="dxa"/>
            <w:right w:w="108" w:type="dxa"/>
          </w:tblCellMar>
        </w:tblPrEx>
        <w:trPr>
          <w:trHeight w:val="690" w:hRule="atLeast"/>
        </w:trPr>
        <w:tc>
          <w:tcPr>
            <w:tcW w:w="9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eastAsia="宋体"/>
                <w:color w:val="000000"/>
                <w:kern w:val="0"/>
                <w:sz w:val="24"/>
                <w:szCs w:val="24"/>
                <w:lang w:val="en-US" w:eastAsia="zh-CN"/>
              </w:rPr>
            </w:pPr>
            <w:r>
              <w:rPr>
                <w:rFonts w:hint="eastAsia"/>
                <w:color w:val="000000"/>
                <w:kern w:val="0"/>
                <w:sz w:val="24"/>
                <w:szCs w:val="24"/>
                <w:lang w:val="en-US" w:eastAsia="zh-CN"/>
              </w:rPr>
              <w:t>5</w:t>
            </w:r>
          </w:p>
        </w:tc>
        <w:tc>
          <w:tcPr>
            <w:tcW w:w="14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color w:val="000000"/>
                <w:kern w:val="0"/>
                <w:sz w:val="24"/>
                <w:szCs w:val="24"/>
              </w:rPr>
            </w:pPr>
            <w:r>
              <w:rPr>
                <w:rFonts w:hint="eastAsia"/>
                <w:color w:val="000000"/>
                <w:kern w:val="0"/>
                <w:sz w:val="24"/>
                <w:szCs w:val="24"/>
                <w:lang w:val="en-US" w:eastAsia="zh-CN"/>
              </w:rPr>
              <w:t>000</w:t>
            </w:r>
            <w:r>
              <w:rPr>
                <w:rFonts w:hint="eastAsia"/>
                <w:color w:val="000000"/>
                <w:kern w:val="0"/>
                <w:sz w:val="24"/>
                <w:szCs w:val="24"/>
              </w:rPr>
              <w:t>0402003</w:t>
            </w:r>
          </w:p>
        </w:tc>
        <w:tc>
          <w:tcPr>
            <w:tcW w:w="153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纳税人培训辅导（新办纳税人培训辅导）</w:t>
            </w:r>
          </w:p>
        </w:tc>
        <w:tc>
          <w:tcPr>
            <w:tcW w:w="293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税务机关组织新办纳税人开展税收基本知识、相关税收政策、办税流程、软件操作、税控设备操作等方面的学习培训和互动交流</w:t>
            </w:r>
          </w:p>
        </w:tc>
        <w:tc>
          <w:tcPr>
            <w:tcW w:w="4483" w:type="dxa"/>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《全国税务机关纳税服务规范</w:t>
            </w:r>
            <w:r>
              <w:rPr>
                <w:color w:val="000000"/>
                <w:kern w:val="0"/>
                <w:szCs w:val="21"/>
              </w:rPr>
              <w:t>2.3</w:t>
            </w:r>
            <w:r>
              <w:rPr>
                <w:rFonts w:hint="eastAsia" w:ascii="宋体" w:hAnsi="宋体" w:cs="宋体"/>
                <w:color w:val="000000"/>
                <w:kern w:val="0"/>
                <w:szCs w:val="21"/>
              </w:rPr>
              <w:t>》第七章宣传咨询规范：税务机关组织新办纳税人开展税收基本知识、相关税收政策、办税流程、软件操作、税控设备操作等方面的学习培训和互动交流</w:t>
            </w:r>
          </w:p>
        </w:tc>
        <w:tc>
          <w:tcPr>
            <w:tcW w:w="122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主动服务</w:t>
            </w:r>
          </w:p>
        </w:tc>
        <w:tc>
          <w:tcPr>
            <w:tcW w:w="130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宣传培训类</w:t>
            </w:r>
          </w:p>
        </w:tc>
        <w:tc>
          <w:tcPr>
            <w:tcW w:w="153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w:t>
            </w:r>
            <w:r>
              <w:rPr>
                <w:rFonts w:hint="eastAsia" w:ascii="宋体" w:hAnsi="宋体" w:cs="宋体"/>
                <w:color w:val="000000"/>
                <w:kern w:val="0"/>
                <w:szCs w:val="21"/>
                <w:lang w:eastAsia="zh-CN"/>
              </w:rPr>
              <w:t>税务部门</w:t>
            </w:r>
          </w:p>
        </w:tc>
      </w:tr>
      <w:tr>
        <w:tblPrEx>
          <w:tblLayout w:type="fixed"/>
          <w:tblCellMar>
            <w:top w:w="0" w:type="dxa"/>
            <w:left w:w="108" w:type="dxa"/>
            <w:bottom w:w="0" w:type="dxa"/>
            <w:right w:w="108" w:type="dxa"/>
          </w:tblCellMar>
        </w:tblPrEx>
        <w:trPr>
          <w:trHeight w:val="690" w:hRule="atLeast"/>
        </w:trPr>
        <w:tc>
          <w:tcPr>
            <w:tcW w:w="9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eastAsia="宋体"/>
                <w:color w:val="000000"/>
                <w:kern w:val="0"/>
                <w:sz w:val="24"/>
                <w:szCs w:val="24"/>
                <w:lang w:val="en-US" w:eastAsia="zh-CN"/>
              </w:rPr>
            </w:pPr>
            <w:r>
              <w:rPr>
                <w:rFonts w:hint="eastAsia"/>
                <w:color w:val="000000"/>
                <w:kern w:val="0"/>
                <w:sz w:val="24"/>
                <w:szCs w:val="24"/>
                <w:lang w:val="en-US" w:eastAsia="zh-CN"/>
              </w:rPr>
              <w:t>6</w:t>
            </w:r>
          </w:p>
        </w:tc>
        <w:tc>
          <w:tcPr>
            <w:tcW w:w="14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color w:val="000000"/>
                <w:kern w:val="0"/>
                <w:sz w:val="24"/>
                <w:szCs w:val="24"/>
              </w:rPr>
            </w:pPr>
            <w:r>
              <w:rPr>
                <w:rFonts w:hint="eastAsia"/>
                <w:color w:val="000000"/>
                <w:kern w:val="0"/>
                <w:sz w:val="24"/>
                <w:szCs w:val="24"/>
                <w:lang w:val="en-US" w:eastAsia="zh-CN"/>
              </w:rPr>
              <w:t>000</w:t>
            </w:r>
            <w:r>
              <w:rPr>
                <w:rFonts w:hint="eastAsia"/>
                <w:color w:val="000000"/>
                <w:kern w:val="0"/>
                <w:sz w:val="24"/>
                <w:szCs w:val="24"/>
              </w:rPr>
              <w:t>0402004</w:t>
            </w:r>
          </w:p>
        </w:tc>
        <w:tc>
          <w:tcPr>
            <w:tcW w:w="153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纳税人培训辅导（税收专项培训辅导）</w:t>
            </w:r>
          </w:p>
        </w:tc>
        <w:tc>
          <w:tcPr>
            <w:tcW w:w="293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税务机关根据税收政策变化、纳税人需求、重点工作和阶段性工作，组织纳税人开展税收专题培训辅导</w:t>
            </w:r>
          </w:p>
        </w:tc>
        <w:tc>
          <w:tcPr>
            <w:tcW w:w="4483" w:type="dxa"/>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《全国税务机关纳税服务规范</w:t>
            </w:r>
            <w:r>
              <w:rPr>
                <w:color w:val="000000"/>
                <w:kern w:val="0"/>
                <w:szCs w:val="21"/>
              </w:rPr>
              <w:t>2.3</w:t>
            </w:r>
            <w:r>
              <w:rPr>
                <w:rFonts w:hint="eastAsia" w:ascii="宋体" w:hAnsi="宋体" w:cs="宋体"/>
                <w:color w:val="000000"/>
                <w:kern w:val="0"/>
                <w:szCs w:val="21"/>
              </w:rPr>
              <w:t>》第七章宣传咨询规范：税务机关根据税收政策变化、纳税人需求、重点工作和阶段性工作，组织纳税人开展税收专题培训辅导</w:t>
            </w:r>
          </w:p>
        </w:tc>
        <w:tc>
          <w:tcPr>
            <w:tcW w:w="122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主动服务</w:t>
            </w:r>
          </w:p>
        </w:tc>
        <w:tc>
          <w:tcPr>
            <w:tcW w:w="130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宣传培训类</w:t>
            </w:r>
          </w:p>
        </w:tc>
        <w:tc>
          <w:tcPr>
            <w:tcW w:w="153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w:t>
            </w:r>
            <w:r>
              <w:rPr>
                <w:rFonts w:hint="eastAsia" w:ascii="宋体" w:hAnsi="宋体" w:cs="宋体"/>
                <w:color w:val="000000"/>
                <w:kern w:val="0"/>
                <w:szCs w:val="21"/>
                <w:lang w:eastAsia="zh-CN"/>
              </w:rPr>
              <w:t>税务部门</w:t>
            </w:r>
          </w:p>
        </w:tc>
      </w:tr>
      <w:tr>
        <w:tblPrEx>
          <w:tblLayout w:type="fixed"/>
          <w:tblCellMar>
            <w:top w:w="0" w:type="dxa"/>
            <w:left w:w="108" w:type="dxa"/>
            <w:bottom w:w="0" w:type="dxa"/>
            <w:right w:w="108" w:type="dxa"/>
          </w:tblCellMar>
        </w:tblPrEx>
        <w:trPr>
          <w:trHeight w:val="1566" w:hRule="atLeast"/>
        </w:trPr>
        <w:tc>
          <w:tcPr>
            <w:tcW w:w="934"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rFonts w:hint="eastAsia" w:eastAsia="宋体"/>
                <w:color w:val="000000"/>
                <w:kern w:val="0"/>
                <w:sz w:val="24"/>
                <w:szCs w:val="24"/>
                <w:lang w:val="en-US" w:eastAsia="zh-CN"/>
              </w:rPr>
            </w:pPr>
            <w:r>
              <w:rPr>
                <w:rFonts w:hint="eastAsia"/>
                <w:color w:val="000000"/>
                <w:kern w:val="0"/>
                <w:sz w:val="24"/>
                <w:szCs w:val="24"/>
                <w:lang w:val="en-US" w:eastAsia="zh-CN"/>
              </w:rPr>
              <w:t>7</w:t>
            </w:r>
          </w:p>
        </w:tc>
        <w:tc>
          <w:tcPr>
            <w:tcW w:w="1483"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color w:val="000000"/>
                <w:kern w:val="0"/>
                <w:sz w:val="24"/>
                <w:szCs w:val="24"/>
              </w:rPr>
            </w:pPr>
            <w:r>
              <w:rPr>
                <w:rFonts w:hint="eastAsia"/>
                <w:color w:val="000000"/>
                <w:kern w:val="0"/>
                <w:sz w:val="24"/>
                <w:szCs w:val="24"/>
                <w:lang w:val="en-US" w:eastAsia="zh-CN"/>
              </w:rPr>
              <w:t>000</w:t>
            </w:r>
            <w:r>
              <w:rPr>
                <w:rFonts w:hint="eastAsia"/>
                <w:color w:val="000000"/>
                <w:kern w:val="0"/>
                <w:sz w:val="24"/>
                <w:szCs w:val="24"/>
              </w:rPr>
              <w:t>0402005</w:t>
            </w:r>
          </w:p>
        </w:tc>
        <w:tc>
          <w:tcPr>
            <w:tcW w:w="1533"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导税服务</w:t>
            </w:r>
          </w:p>
        </w:tc>
        <w:tc>
          <w:tcPr>
            <w:tcW w:w="2934"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办税服务厅设置导税台，配备导税人员，为纳税人提供准确、快捷的导税服务</w:t>
            </w:r>
          </w:p>
        </w:tc>
        <w:tc>
          <w:tcPr>
            <w:tcW w:w="4483" w:type="dxa"/>
            <w:tcBorders>
              <w:top w:val="single" w:color="auto" w:sz="4" w:space="0"/>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《全国税务机关纳税服务规范2.3》第九章文明服务规范：办税服务厅应为纳税人提供准确、快捷的导税服务</w:t>
            </w:r>
          </w:p>
        </w:tc>
        <w:tc>
          <w:tcPr>
            <w:tcW w:w="122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依申请</w:t>
            </w:r>
          </w:p>
        </w:tc>
        <w:tc>
          <w:tcPr>
            <w:tcW w:w="1309"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宣传培训类</w:t>
            </w:r>
          </w:p>
        </w:tc>
        <w:tc>
          <w:tcPr>
            <w:tcW w:w="153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w:t>
            </w:r>
            <w:r>
              <w:rPr>
                <w:rFonts w:hint="eastAsia" w:ascii="宋体" w:hAnsi="宋体" w:cs="宋体"/>
                <w:color w:val="000000"/>
                <w:kern w:val="0"/>
                <w:szCs w:val="21"/>
                <w:lang w:eastAsia="zh-CN"/>
              </w:rPr>
              <w:t>税务部门</w:t>
            </w:r>
          </w:p>
        </w:tc>
      </w:tr>
      <w:tr>
        <w:tblPrEx>
          <w:tblLayout w:type="fixed"/>
          <w:tblCellMar>
            <w:top w:w="0" w:type="dxa"/>
            <w:left w:w="108" w:type="dxa"/>
            <w:bottom w:w="0" w:type="dxa"/>
            <w:right w:w="108" w:type="dxa"/>
          </w:tblCellMar>
        </w:tblPrEx>
        <w:trPr>
          <w:trHeight w:val="2384" w:hRule="atLeast"/>
        </w:trPr>
        <w:tc>
          <w:tcPr>
            <w:tcW w:w="9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eastAsia="宋体"/>
                <w:color w:val="000000"/>
                <w:kern w:val="0"/>
                <w:sz w:val="24"/>
                <w:szCs w:val="24"/>
                <w:lang w:val="en-US" w:eastAsia="zh-CN"/>
              </w:rPr>
            </w:pPr>
            <w:r>
              <w:rPr>
                <w:rFonts w:hint="eastAsia"/>
                <w:color w:val="000000"/>
                <w:kern w:val="0"/>
                <w:sz w:val="24"/>
                <w:szCs w:val="24"/>
                <w:lang w:val="en-US" w:eastAsia="zh-CN"/>
              </w:rPr>
              <w:t>8</w:t>
            </w:r>
          </w:p>
        </w:tc>
        <w:tc>
          <w:tcPr>
            <w:tcW w:w="148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color w:val="000000"/>
                <w:kern w:val="0"/>
                <w:sz w:val="24"/>
                <w:szCs w:val="24"/>
              </w:rPr>
            </w:pPr>
            <w:r>
              <w:rPr>
                <w:rFonts w:hint="eastAsia"/>
                <w:color w:val="000000"/>
                <w:kern w:val="0"/>
                <w:sz w:val="24"/>
                <w:szCs w:val="24"/>
                <w:lang w:val="en-US" w:eastAsia="zh-CN"/>
              </w:rPr>
              <w:t>000</w:t>
            </w:r>
            <w:r>
              <w:rPr>
                <w:rFonts w:hint="eastAsia"/>
                <w:color w:val="000000"/>
                <w:kern w:val="0"/>
                <w:sz w:val="24"/>
                <w:szCs w:val="24"/>
              </w:rPr>
              <w:t>0403001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服务投诉</w:t>
            </w:r>
          </w:p>
        </w:tc>
        <w:tc>
          <w:tcPr>
            <w:tcW w:w="29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纳税人认为税务机关及其工作人员在履行纳税服务职责过程中未提供规范、文明的纳税服务或者侵犯其合法权益，向税务机关进行投诉</w:t>
            </w:r>
          </w:p>
        </w:tc>
        <w:tc>
          <w:tcPr>
            <w:tcW w:w="4483" w:type="dxa"/>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《纳税服务投诉管理办法》第二条：纳税人认为税务机关及其工作人员在履行纳税服务职责过程中未提供规范、文明的纳税服务或者侵犯其合法权益，向税务机关进行投诉。 第八条 本办法所称纳税服务投诉包括：（一）纳税人对税务机关工作人员服务态度不满意而进行的投诉；（二）纳税人对税务机关及其工作人员服务质效不满意而进行的投诉；（三）纳税人认为税务机关及其工作人员在履行职责过程中侵害其合法权益而进行的投诉。</w:t>
            </w:r>
          </w:p>
        </w:tc>
        <w:tc>
          <w:tcPr>
            <w:tcW w:w="122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依申请</w:t>
            </w:r>
          </w:p>
        </w:tc>
        <w:tc>
          <w:tcPr>
            <w:tcW w:w="130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救济援助类</w:t>
            </w:r>
          </w:p>
        </w:tc>
        <w:tc>
          <w:tcPr>
            <w:tcW w:w="153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市、县</w:t>
            </w:r>
            <w:r>
              <w:rPr>
                <w:rFonts w:hint="eastAsia" w:ascii="宋体" w:hAnsi="宋体" w:cs="宋体"/>
                <w:color w:val="000000"/>
                <w:kern w:val="0"/>
                <w:szCs w:val="21"/>
                <w:lang w:eastAsia="zh-CN"/>
              </w:rPr>
              <w:t>税务部门</w:t>
            </w:r>
          </w:p>
        </w:tc>
      </w:tr>
      <w:tr>
        <w:tblPrEx>
          <w:tblLayout w:type="fixed"/>
          <w:tblCellMar>
            <w:top w:w="0" w:type="dxa"/>
            <w:left w:w="108" w:type="dxa"/>
            <w:bottom w:w="0" w:type="dxa"/>
            <w:right w:w="108" w:type="dxa"/>
          </w:tblCellMar>
        </w:tblPrEx>
        <w:trPr>
          <w:trHeight w:val="3050" w:hRule="atLeast"/>
        </w:trPr>
        <w:tc>
          <w:tcPr>
            <w:tcW w:w="934"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hint="eastAsia" w:eastAsia="宋体"/>
                <w:color w:val="000000"/>
                <w:kern w:val="0"/>
                <w:sz w:val="24"/>
                <w:szCs w:val="24"/>
                <w:lang w:val="en-US" w:eastAsia="zh-CN"/>
              </w:rPr>
            </w:pPr>
            <w:r>
              <w:rPr>
                <w:rFonts w:hint="eastAsia"/>
                <w:color w:val="000000"/>
                <w:kern w:val="0"/>
                <w:sz w:val="24"/>
                <w:szCs w:val="24"/>
                <w:lang w:val="en-US" w:eastAsia="zh-CN"/>
              </w:rPr>
              <w:t>9</w:t>
            </w:r>
          </w:p>
        </w:tc>
        <w:tc>
          <w:tcPr>
            <w:tcW w:w="1483"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color w:val="000000"/>
                <w:kern w:val="0"/>
                <w:sz w:val="24"/>
                <w:szCs w:val="24"/>
              </w:rPr>
            </w:pPr>
            <w:bookmarkStart w:id="0" w:name="_GoBack"/>
            <w:bookmarkEnd w:id="0"/>
            <w:r>
              <w:rPr>
                <w:rFonts w:hint="eastAsia"/>
                <w:color w:val="000000"/>
                <w:kern w:val="0"/>
                <w:sz w:val="24"/>
                <w:szCs w:val="24"/>
                <w:lang w:val="en-US" w:eastAsia="zh-CN"/>
              </w:rPr>
              <w:t>000</w:t>
            </w:r>
            <w:r>
              <w:rPr>
                <w:rFonts w:hint="eastAsia"/>
                <w:color w:val="000000"/>
                <w:kern w:val="0"/>
                <w:sz w:val="24"/>
                <w:szCs w:val="24"/>
              </w:rPr>
              <w:t>0403002</w:t>
            </w:r>
          </w:p>
        </w:tc>
        <w:tc>
          <w:tcPr>
            <w:tcW w:w="153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需求征集</w:t>
            </w:r>
          </w:p>
        </w:tc>
        <w:tc>
          <w:tcPr>
            <w:tcW w:w="293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税务机关通过互联网、移动终端、12366等应用平台，根据事先确定的需求征集内容，采集纳税人使用税务应用平台过程中所产生的、与纳税人需求相关的信息。</w:t>
            </w:r>
          </w:p>
        </w:tc>
        <w:tc>
          <w:tcPr>
            <w:tcW w:w="4483" w:type="dxa"/>
            <w:tcBorders>
              <w:top w:val="single" w:color="auto" w:sz="4" w:space="0"/>
              <w:left w:val="nil"/>
              <w:bottom w:val="single" w:color="auto" w:sz="4"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税务总局关于加强纳税人需求管理工作的通知》第一条：（一）依法服务。以依法依规为导向，在依法治税、依法服务的框架内，问需问计于纳税人，完善纳税人需求管理机制，增强需求管理的统一性和规范性，充分响应纳税人正当需求。（二）科学高效。以信息技术为支撑，利用现代信息技术手段，建立纳税人需求痕迹化管理模式，多渠道征集纳税人需求，运用大数据科学分析纳税人需求信息，合理应用分析结果。</w:t>
            </w:r>
          </w:p>
        </w:tc>
        <w:tc>
          <w:tcPr>
            <w:tcW w:w="122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主动服务</w:t>
            </w:r>
          </w:p>
        </w:tc>
        <w:tc>
          <w:tcPr>
            <w:tcW w:w="1309"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救济援助类</w:t>
            </w:r>
          </w:p>
        </w:tc>
        <w:tc>
          <w:tcPr>
            <w:tcW w:w="153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市、县</w:t>
            </w:r>
            <w:r>
              <w:rPr>
                <w:rFonts w:hint="eastAsia" w:ascii="宋体" w:hAnsi="宋体" w:cs="宋体"/>
                <w:color w:val="000000"/>
                <w:kern w:val="0"/>
                <w:szCs w:val="21"/>
                <w:lang w:eastAsia="zh-CN"/>
              </w:rPr>
              <w:t>税务部门</w:t>
            </w:r>
          </w:p>
        </w:tc>
      </w:tr>
    </w:tbl>
    <w:p>
      <w:pPr>
        <w:rPr>
          <w:rFonts w:ascii="宋体" w:hAnsi="宋体"/>
          <w:sz w:val="24"/>
          <w:szCs w:val="24"/>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7D85"/>
    <w:rsid w:val="000106DB"/>
    <w:rsid w:val="000120AB"/>
    <w:rsid w:val="00096253"/>
    <w:rsid w:val="000C06EF"/>
    <w:rsid w:val="00191637"/>
    <w:rsid w:val="00206EF0"/>
    <w:rsid w:val="003765F8"/>
    <w:rsid w:val="0040483D"/>
    <w:rsid w:val="00421CDB"/>
    <w:rsid w:val="004B50D8"/>
    <w:rsid w:val="00562CC1"/>
    <w:rsid w:val="005935E5"/>
    <w:rsid w:val="006451E4"/>
    <w:rsid w:val="00680000"/>
    <w:rsid w:val="006C5CEE"/>
    <w:rsid w:val="00787EE0"/>
    <w:rsid w:val="008310FC"/>
    <w:rsid w:val="008C6CCB"/>
    <w:rsid w:val="008E3884"/>
    <w:rsid w:val="00963908"/>
    <w:rsid w:val="009D41F0"/>
    <w:rsid w:val="00A97D85"/>
    <w:rsid w:val="00BD5E74"/>
    <w:rsid w:val="00C23070"/>
    <w:rsid w:val="00CE3EC1"/>
    <w:rsid w:val="00DD4588"/>
    <w:rsid w:val="00E430D9"/>
    <w:rsid w:val="00F5094A"/>
    <w:rsid w:val="00F7158A"/>
    <w:rsid w:val="00F916E9"/>
    <w:rsid w:val="03882DA8"/>
    <w:rsid w:val="135F76A7"/>
    <w:rsid w:val="13680A68"/>
    <w:rsid w:val="1B3F2494"/>
    <w:rsid w:val="35242D44"/>
    <w:rsid w:val="41923299"/>
    <w:rsid w:val="44CB54B9"/>
    <w:rsid w:val="4A805DFD"/>
    <w:rsid w:val="54001522"/>
    <w:rsid w:val="5FD02B70"/>
    <w:rsid w:val="68A80DEA"/>
    <w:rsid w:val="75BD661D"/>
    <w:rsid w:val="7D21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241</Words>
  <Characters>1378</Characters>
  <Lines>11</Lines>
  <Paragraphs>3</Paragraphs>
  <TotalTime>6</TotalTime>
  <ScaleCrop>false</ScaleCrop>
  <LinksUpToDate>false</LinksUpToDate>
  <CharactersWithSpaces>1616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2017-12-07T09:06:00Z</dcterms:created>
  <dc:creator>star111</dc:creator>
  <cp:lastModifiedBy>王丹</cp:lastModifiedBy>
  <cp:lastPrinted>2017-12-07T08:53:00Z</cp:lastPrinted>
  <dcterms:modified xsi:type="dcterms:W3CDTF">2018-06-25T14:44:01Z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