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予以保留的区政府及区政府办公室</w:t>
      </w:r>
    </w:p>
    <w:p>
      <w:pPr>
        <w:spacing w:line="7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规范性（政策措施类）文件目录</w:t>
      </w:r>
    </w:p>
    <w:p>
      <w:pPr>
        <w:spacing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2003年</w:t>
      </w:r>
      <w:r>
        <w:rPr>
          <w:rFonts w:hint="eastAsia" w:ascii="方正小标宋_GBK" w:hAnsi="方正小标宋_GBK" w:eastAsia="方正小标宋_GBK" w:cs="方正小标宋_GBK"/>
          <w:sz w:val="44"/>
          <w:szCs w:val="44"/>
          <w:lang w:val="en-US" w:eastAsia="zh-CN"/>
        </w:rPr>
        <w:t>-</w:t>
      </w:r>
      <w:r>
        <w:rPr>
          <w:rFonts w:hint="eastAsia" w:ascii="方正小标宋_GBK" w:hAnsi="方正小标宋_GBK" w:eastAsia="方正小标宋_GBK" w:cs="方正小标宋_GBK"/>
          <w:sz w:val="44"/>
          <w:szCs w:val="44"/>
        </w:rPr>
        <w:t>2013</w:t>
      </w:r>
      <w:bookmarkStart w:id="0" w:name="_GoBack"/>
      <w:bookmarkEnd w:id="0"/>
      <w:r>
        <w:rPr>
          <w:rFonts w:hint="eastAsia" w:ascii="方正小标宋_GBK" w:hAnsi="方正小标宋_GBK" w:eastAsia="方正小标宋_GBK" w:cs="方正小标宋_GBK"/>
          <w:sz w:val="44"/>
          <w:szCs w:val="44"/>
        </w:rPr>
        <w:t>年</w:t>
      </w:r>
      <w:r>
        <w:rPr>
          <w:rFonts w:hint="eastAsia" w:ascii="方正小标宋_GBK" w:hAnsi="方正小标宋_GBK" w:eastAsia="方正小标宋_GBK" w:cs="方正小标宋_GBK"/>
          <w:sz w:val="44"/>
          <w:szCs w:val="44"/>
          <w:lang w:eastAsia="zh-CN"/>
        </w:rPr>
        <w:t>）</w:t>
      </w:r>
    </w:p>
    <w:tbl>
      <w:tblPr>
        <w:tblStyle w:val="3"/>
        <w:tblW w:w="9638" w:type="dxa"/>
        <w:jc w:val="center"/>
        <w:tblInd w:w="0" w:type="dxa"/>
        <w:tblLayout w:type="fixed"/>
        <w:tblCellMar>
          <w:top w:w="15" w:type="dxa"/>
          <w:left w:w="15" w:type="dxa"/>
          <w:bottom w:w="15" w:type="dxa"/>
          <w:right w:w="15" w:type="dxa"/>
        </w:tblCellMar>
      </w:tblPr>
      <w:tblGrid>
        <w:gridCol w:w="710"/>
        <w:gridCol w:w="6904"/>
        <w:gridCol w:w="2024"/>
      </w:tblGrid>
      <w:tr>
        <w:tblPrEx>
          <w:tblLayout w:type="fixed"/>
          <w:tblCellMar>
            <w:top w:w="15" w:type="dxa"/>
            <w:left w:w="15" w:type="dxa"/>
            <w:bottom w:w="15" w:type="dxa"/>
            <w:right w:w="15" w:type="dxa"/>
          </w:tblCellMar>
        </w:tblPrEx>
        <w:trPr>
          <w:cantSplit/>
          <w:trHeight w:val="57"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Times New Roman" w:eastAsia="方正黑体_GBK"/>
                <w:bCs/>
                <w:sz w:val="28"/>
                <w:szCs w:val="28"/>
              </w:rPr>
            </w:pPr>
            <w:r>
              <w:rPr>
                <w:rFonts w:hint="eastAsia" w:ascii="方正黑体_GBK" w:hAnsi="Times New Roman" w:eastAsia="方正黑体_GBK"/>
                <w:bCs/>
                <w:sz w:val="28"/>
                <w:szCs w:val="28"/>
              </w:rPr>
              <w:t>序号</w:t>
            </w:r>
          </w:p>
        </w:tc>
        <w:tc>
          <w:tcPr>
            <w:tcW w:w="6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Times New Roman" w:eastAsia="方正黑体_GBK"/>
                <w:bCs/>
                <w:sz w:val="28"/>
                <w:szCs w:val="28"/>
              </w:rPr>
            </w:pPr>
            <w:r>
              <w:rPr>
                <w:rFonts w:hint="eastAsia" w:ascii="方正黑体_GBK" w:hAnsi="Times New Roman" w:eastAsia="方正黑体_GBK"/>
                <w:bCs/>
                <w:sz w:val="28"/>
                <w:szCs w:val="28"/>
              </w:rPr>
              <w:t>文件名称</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方正黑体_GBK" w:hAnsi="Times New Roman" w:eastAsia="方正黑体_GBK"/>
                <w:bCs/>
                <w:sz w:val="28"/>
                <w:szCs w:val="28"/>
              </w:rPr>
            </w:pPr>
            <w:r>
              <w:rPr>
                <w:rFonts w:hint="eastAsia" w:ascii="方正黑体_GBK" w:hAnsi="Times New Roman" w:eastAsia="方正黑体_GBK"/>
                <w:bCs/>
                <w:sz w:val="28"/>
                <w:szCs w:val="28"/>
              </w:rPr>
              <w:t>文号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ascii="Times New Roman" w:hAnsi="Times New Roman" w:eastAsia="方正仿宋_GBK"/>
                <w:sz w:val="28"/>
                <w:szCs w:val="28"/>
              </w:rPr>
              <w:t>1</w:t>
            </w:r>
          </w:p>
        </w:tc>
        <w:tc>
          <w:tcPr>
            <w:tcW w:w="6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eastAsia="方正仿宋_GBK"/>
                <w:sz w:val="28"/>
                <w:szCs w:val="28"/>
              </w:rPr>
            </w:pPr>
            <w:r>
              <w:rPr>
                <w:rFonts w:hint="eastAsia" w:ascii="Times New Roman" w:hAnsi="Times New Roman" w:eastAsia="方正仿宋_GBK"/>
                <w:sz w:val="28"/>
                <w:szCs w:val="28"/>
              </w:rPr>
              <w:t>关于大力开展以预防控制非典型肺炎为重点的群众性爱国卫生运动的通知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2003</w:t>
            </w:r>
            <w:r>
              <w:rPr>
                <w:rFonts w:hint="eastAsia" w:ascii="Times New Roman" w:hAnsi="Times New Roman" w:eastAsia="方正仿宋_GBK"/>
                <w:sz w:val="28"/>
                <w:szCs w:val="28"/>
              </w:rPr>
              <w:t>〕</w:t>
            </w:r>
            <w:r>
              <w:rPr>
                <w:rFonts w:ascii="Times New Roman" w:hAnsi="Times New Roman" w:eastAsia="方正仿宋_GBK"/>
                <w:sz w:val="28"/>
                <w:szCs w:val="28"/>
              </w:rPr>
              <w:t>55</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ascii="Times New Roman" w:hAnsi="Times New Roman" w:eastAsia="方正仿宋_GBK"/>
                <w:sz w:val="28"/>
                <w:szCs w:val="28"/>
              </w:rPr>
              <w:t>2</w:t>
            </w:r>
          </w:p>
        </w:tc>
        <w:tc>
          <w:tcPr>
            <w:tcW w:w="6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eastAsia="方正仿宋_GBK"/>
                <w:sz w:val="28"/>
                <w:szCs w:val="28"/>
              </w:rPr>
            </w:pPr>
            <w:r>
              <w:rPr>
                <w:rFonts w:hint="eastAsia" w:ascii="Times New Roman" w:hAnsi="Times New Roman" w:eastAsia="方正仿宋_GBK"/>
                <w:sz w:val="28"/>
                <w:szCs w:val="28"/>
              </w:rPr>
              <w:t>关于印发《常州市天宁区防治传染性非典型肺炎应急预案》的通知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2003</w:t>
            </w:r>
            <w:r>
              <w:rPr>
                <w:rFonts w:hint="eastAsia" w:ascii="Times New Roman" w:hAnsi="Times New Roman" w:eastAsia="方正仿宋_GBK"/>
                <w:sz w:val="28"/>
                <w:szCs w:val="28"/>
              </w:rPr>
              <w:t>〕</w:t>
            </w:r>
            <w:r>
              <w:rPr>
                <w:rFonts w:ascii="Times New Roman" w:hAnsi="Times New Roman" w:eastAsia="方正仿宋_GBK"/>
                <w:sz w:val="28"/>
                <w:szCs w:val="28"/>
              </w:rPr>
              <w:t>99</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3</w:t>
            </w:r>
          </w:p>
        </w:tc>
        <w:tc>
          <w:tcPr>
            <w:tcW w:w="690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关于印发《关于进一步做好农村</w:t>
            </w:r>
            <w:r>
              <w:rPr>
                <w:rFonts w:ascii="Times New Roman" w:hAnsi="Times New Roman" w:eastAsia="方正仿宋_GBK"/>
                <w:sz w:val="28"/>
                <w:szCs w:val="28"/>
              </w:rPr>
              <w:t>“</w:t>
            </w:r>
            <w:r>
              <w:rPr>
                <w:rFonts w:hint="eastAsia" w:ascii="Times New Roman" w:hAnsi="Times New Roman" w:eastAsia="方正仿宋_GBK"/>
                <w:sz w:val="28"/>
                <w:szCs w:val="28"/>
              </w:rPr>
              <w:t>五保</w:t>
            </w:r>
            <w:r>
              <w:rPr>
                <w:rFonts w:ascii="Times New Roman" w:hAnsi="Times New Roman" w:eastAsia="方正仿宋_GBK"/>
                <w:sz w:val="28"/>
                <w:szCs w:val="28"/>
              </w:rPr>
              <w:t>”</w:t>
            </w:r>
            <w:r>
              <w:rPr>
                <w:rFonts w:hint="eastAsia" w:ascii="Times New Roman" w:hAnsi="Times New Roman" w:eastAsia="方正仿宋_GBK"/>
                <w:sz w:val="28"/>
                <w:szCs w:val="28"/>
              </w:rPr>
              <w:t>供养工作的意见》的通知</w:t>
            </w:r>
          </w:p>
        </w:tc>
        <w:tc>
          <w:tcPr>
            <w:tcW w:w="2024" w:type="dxa"/>
            <w:tcBorders>
              <w:top w:val="single" w:color="000000" w:sz="4" w:space="0"/>
              <w:left w:val="single" w:color="000000" w:sz="4" w:space="0"/>
              <w:bottom w:val="single" w:color="000000" w:sz="4" w:space="0"/>
              <w:right w:val="single" w:color="000000" w:sz="4" w:space="0"/>
            </w:tcBorders>
            <w:shd w:val="clear" w:color="000000" w:fill="auto"/>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2006</w:t>
            </w:r>
            <w:r>
              <w:rPr>
                <w:rFonts w:hint="eastAsia" w:ascii="Times New Roman" w:hAnsi="Times New Roman" w:eastAsia="方正仿宋_GBK"/>
                <w:sz w:val="28"/>
                <w:szCs w:val="28"/>
              </w:rPr>
              <w:t>〕</w:t>
            </w:r>
            <w:r>
              <w:rPr>
                <w:rFonts w:ascii="Times New Roman" w:hAnsi="Times New Roman" w:eastAsia="方正仿宋_GBK"/>
                <w:sz w:val="28"/>
                <w:szCs w:val="28"/>
              </w:rPr>
              <w:t>71</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ascii="Times New Roman" w:hAnsi="Times New Roman" w:eastAsia="方正仿宋_GBK"/>
                <w:sz w:val="28"/>
                <w:szCs w:val="28"/>
              </w:rPr>
              <w:t>4</w:t>
            </w:r>
          </w:p>
        </w:tc>
        <w:tc>
          <w:tcPr>
            <w:tcW w:w="6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eastAsia="方正仿宋_GBK"/>
                <w:sz w:val="28"/>
                <w:szCs w:val="28"/>
              </w:rPr>
            </w:pPr>
            <w:r>
              <w:rPr>
                <w:rFonts w:hint="eastAsia" w:ascii="Times New Roman" w:hAnsi="Times New Roman" w:eastAsia="方正仿宋_GBK"/>
                <w:sz w:val="28"/>
                <w:szCs w:val="28"/>
              </w:rPr>
              <w:t>天宁区关于建立</w:t>
            </w:r>
            <w:r>
              <w:rPr>
                <w:rFonts w:ascii="Times New Roman" w:hAnsi="Times New Roman" w:eastAsia="方正仿宋_GBK"/>
                <w:sz w:val="28"/>
                <w:szCs w:val="28"/>
              </w:rPr>
              <w:t>“</w:t>
            </w:r>
            <w:r>
              <w:rPr>
                <w:rFonts w:hint="eastAsia" w:ascii="Times New Roman" w:hAnsi="Times New Roman" w:eastAsia="方正仿宋_GBK"/>
                <w:sz w:val="28"/>
                <w:szCs w:val="28"/>
              </w:rPr>
              <w:t>十五分钟法律援助工作圈</w:t>
            </w:r>
            <w:r>
              <w:rPr>
                <w:rFonts w:ascii="Times New Roman" w:hAnsi="Times New Roman" w:eastAsia="方正仿宋_GBK"/>
                <w:sz w:val="28"/>
                <w:szCs w:val="28"/>
              </w:rPr>
              <w:t>”</w:t>
            </w:r>
            <w:r>
              <w:rPr>
                <w:rFonts w:hint="eastAsia" w:ascii="Times New Roman" w:hAnsi="Times New Roman" w:eastAsia="方正仿宋_GBK"/>
                <w:sz w:val="28"/>
                <w:szCs w:val="28"/>
              </w:rPr>
              <w:t>的实施意见</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16</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ascii="Times New Roman" w:hAnsi="Times New Roman" w:eastAsia="方正仿宋_GBK"/>
                <w:sz w:val="28"/>
                <w:szCs w:val="28"/>
              </w:rPr>
              <w:t>5</w:t>
            </w:r>
          </w:p>
        </w:tc>
        <w:tc>
          <w:tcPr>
            <w:tcW w:w="690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textAlignment w:val="center"/>
              <w:rPr>
                <w:rFonts w:ascii="Times New Roman" w:hAnsi="Times New Roman" w:eastAsia="方正仿宋_GBK"/>
                <w:sz w:val="28"/>
                <w:szCs w:val="28"/>
              </w:rPr>
            </w:pPr>
            <w:r>
              <w:rPr>
                <w:rFonts w:hint="eastAsia" w:ascii="Times New Roman" w:hAnsi="Times New Roman" w:eastAsia="方正仿宋_GBK"/>
                <w:sz w:val="28"/>
                <w:szCs w:val="28"/>
              </w:rPr>
              <w:t>关于建立天宁区中小学校舍安全保障长效机制的意见</w:t>
            </w:r>
          </w:p>
        </w:tc>
        <w:tc>
          <w:tcPr>
            <w:tcW w:w="202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常天政发</w:t>
            </w:r>
          </w:p>
          <w:p>
            <w:pPr>
              <w:widowControl/>
              <w:spacing w:line="300" w:lineRule="exact"/>
              <w:jc w:val="center"/>
              <w:textAlignment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36</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6</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关于印发《常州市天宁区非典型肺炎防治预案》的通知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2003</w:t>
            </w:r>
            <w:r>
              <w:rPr>
                <w:rFonts w:hint="eastAsia" w:ascii="Times New Roman" w:hAnsi="Times New Roman" w:eastAsia="方正仿宋_GBK"/>
                <w:sz w:val="28"/>
                <w:szCs w:val="28"/>
              </w:rPr>
              <w:t>〕</w:t>
            </w:r>
            <w:r>
              <w:rPr>
                <w:rFonts w:ascii="Times New Roman" w:hAnsi="Times New Roman" w:eastAsia="方正仿宋_GBK"/>
                <w:sz w:val="28"/>
                <w:szCs w:val="28"/>
              </w:rPr>
              <w:t>8</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7</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关于印发《天宁区流动儿童少年简易学校管理暂行办法》的通知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2008</w:t>
            </w:r>
            <w:r>
              <w:rPr>
                <w:rFonts w:hint="eastAsia" w:ascii="Times New Roman" w:hAnsi="Times New Roman" w:eastAsia="方正仿宋_GBK"/>
                <w:sz w:val="28"/>
                <w:szCs w:val="28"/>
              </w:rPr>
              <w:t>〕</w:t>
            </w:r>
            <w:r>
              <w:rPr>
                <w:rFonts w:ascii="Times New Roman" w:hAnsi="Times New Roman" w:eastAsia="方正仿宋_GBK"/>
                <w:sz w:val="28"/>
                <w:szCs w:val="28"/>
              </w:rPr>
              <w:t>6</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8</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关于印发《天宁区关于规范行使行政处罚自由裁量权行为的指导意见》的通知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2009</w:t>
            </w:r>
            <w:r>
              <w:rPr>
                <w:rFonts w:hint="eastAsia" w:ascii="Times New Roman" w:hAnsi="Times New Roman" w:eastAsia="方正仿宋_GBK"/>
                <w:sz w:val="28"/>
                <w:szCs w:val="28"/>
              </w:rPr>
              <w:t>〕</w:t>
            </w:r>
            <w:r>
              <w:rPr>
                <w:rFonts w:ascii="Times New Roman" w:hAnsi="Times New Roman" w:eastAsia="方正仿宋_GBK"/>
                <w:sz w:val="28"/>
                <w:szCs w:val="28"/>
              </w:rPr>
              <w:t>18</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9</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关于对非机动车、摩托车定点停放管理经费实施以奖代补的意见</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2009</w:t>
            </w:r>
            <w:r>
              <w:rPr>
                <w:rFonts w:hint="eastAsia" w:ascii="Times New Roman" w:hAnsi="Times New Roman" w:eastAsia="方正仿宋_GBK"/>
                <w:sz w:val="28"/>
                <w:szCs w:val="28"/>
              </w:rPr>
              <w:t>〕</w:t>
            </w:r>
            <w:r>
              <w:rPr>
                <w:rFonts w:ascii="Times New Roman" w:hAnsi="Times New Roman" w:eastAsia="方正仿宋_GBK"/>
                <w:sz w:val="28"/>
                <w:szCs w:val="28"/>
              </w:rPr>
              <w:t>29</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10</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关于进一步加强建筑房地产项目税收属地征管工作的意见</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2010</w:t>
            </w:r>
            <w:r>
              <w:rPr>
                <w:rFonts w:hint="eastAsia" w:ascii="Times New Roman" w:hAnsi="Times New Roman" w:eastAsia="方正仿宋_GBK"/>
                <w:sz w:val="28"/>
                <w:szCs w:val="28"/>
              </w:rPr>
              <w:t>〕</w:t>
            </w:r>
            <w:r>
              <w:rPr>
                <w:rFonts w:ascii="Times New Roman" w:hAnsi="Times New Roman" w:eastAsia="方正仿宋_GBK"/>
                <w:sz w:val="28"/>
                <w:szCs w:val="28"/>
              </w:rPr>
              <w:t>14</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11</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关于印发《常州市天宁区中小企业统贷统还管理办法》的通知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2012</w:t>
            </w:r>
            <w:r>
              <w:rPr>
                <w:rFonts w:hint="eastAsia" w:ascii="Times New Roman" w:hAnsi="Times New Roman" w:eastAsia="方正仿宋_GBK"/>
                <w:sz w:val="28"/>
                <w:szCs w:val="28"/>
              </w:rPr>
              <w:t>〕</w:t>
            </w:r>
            <w:r>
              <w:rPr>
                <w:rFonts w:ascii="Times New Roman" w:hAnsi="Times New Roman" w:eastAsia="方正仿宋_GBK"/>
                <w:sz w:val="28"/>
                <w:szCs w:val="28"/>
              </w:rPr>
              <w:t>44</w:t>
            </w:r>
            <w:r>
              <w:rPr>
                <w:rFonts w:hint="eastAsia" w:ascii="Times New Roman" w:hAnsi="Times New Roman" w:eastAsia="方正仿宋_GBK"/>
                <w:sz w:val="28"/>
                <w:szCs w:val="28"/>
              </w:rPr>
              <w:t>号</w:t>
            </w:r>
          </w:p>
        </w:tc>
      </w:tr>
      <w:tr>
        <w:tblPrEx>
          <w:tblLayout w:type="fixed"/>
          <w:tblCellMar>
            <w:top w:w="15" w:type="dxa"/>
            <w:left w:w="15" w:type="dxa"/>
            <w:bottom w:w="15" w:type="dxa"/>
            <w:right w:w="15" w:type="dxa"/>
          </w:tblCellMar>
        </w:tblPrEx>
        <w:trPr>
          <w:cantSplit/>
          <w:trHeight w:val="794"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ascii="Times New Roman" w:hAnsi="Times New Roman" w:eastAsia="方正仿宋_GBK"/>
                <w:sz w:val="28"/>
                <w:szCs w:val="28"/>
              </w:rPr>
              <w:t>12</w:t>
            </w:r>
          </w:p>
        </w:tc>
        <w:tc>
          <w:tcPr>
            <w:tcW w:w="6904" w:type="dxa"/>
            <w:tcBorders>
              <w:top w:val="single" w:color="000000" w:sz="4" w:space="0"/>
              <w:left w:val="single" w:color="000000" w:sz="4" w:space="0"/>
              <w:bottom w:val="single" w:color="000000" w:sz="4" w:space="0"/>
              <w:right w:val="single" w:color="000000" w:sz="4" w:space="0"/>
            </w:tcBorders>
            <w:vAlign w:val="center"/>
          </w:tcPr>
          <w:p>
            <w:pPr>
              <w:spacing w:line="300" w:lineRule="exact"/>
              <w:rPr>
                <w:rFonts w:ascii="Times New Roman" w:hAnsi="Times New Roman" w:eastAsia="方正仿宋_GBK"/>
                <w:sz w:val="28"/>
                <w:szCs w:val="28"/>
              </w:rPr>
            </w:pPr>
            <w:r>
              <w:rPr>
                <w:rFonts w:hint="eastAsia" w:ascii="Times New Roman" w:hAnsi="Times New Roman" w:eastAsia="方正仿宋_GBK"/>
                <w:sz w:val="28"/>
                <w:szCs w:val="28"/>
              </w:rPr>
              <w:t>区政府办公室关于印发《天宁区打击非法行医工作联动机制方案》的通知</w:t>
            </w: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常天政办</w:t>
            </w:r>
          </w:p>
          <w:p>
            <w:pPr>
              <w:spacing w:line="300" w:lineRule="exact"/>
              <w:jc w:val="center"/>
              <w:rPr>
                <w:rFonts w:ascii="Times New Roman" w:hAnsi="Times New Roman" w:eastAsia="方正仿宋_GBK"/>
                <w:sz w:val="28"/>
                <w:szCs w:val="28"/>
              </w:rPr>
            </w:pPr>
            <w:r>
              <w:rPr>
                <w:rFonts w:hint="eastAsia" w:ascii="Times New Roman" w:hAnsi="Times New Roman" w:eastAsia="方正仿宋_GBK"/>
                <w:sz w:val="28"/>
                <w:szCs w:val="28"/>
              </w:rPr>
              <w:t>〔</w:t>
            </w:r>
            <w:r>
              <w:rPr>
                <w:rFonts w:ascii="Times New Roman" w:hAnsi="Times New Roman" w:eastAsia="方正仿宋_GBK"/>
                <w:sz w:val="28"/>
                <w:szCs w:val="28"/>
              </w:rPr>
              <w:t>2013</w:t>
            </w:r>
            <w:r>
              <w:rPr>
                <w:rFonts w:hint="eastAsia" w:ascii="Times New Roman" w:hAnsi="Times New Roman" w:eastAsia="方正仿宋_GBK"/>
                <w:sz w:val="28"/>
                <w:szCs w:val="28"/>
              </w:rPr>
              <w:t>〕</w:t>
            </w:r>
            <w:r>
              <w:rPr>
                <w:rFonts w:ascii="Times New Roman" w:hAnsi="Times New Roman" w:eastAsia="方正仿宋_GBK"/>
                <w:sz w:val="28"/>
                <w:szCs w:val="28"/>
              </w:rPr>
              <w:t>42</w:t>
            </w:r>
            <w:r>
              <w:rPr>
                <w:rFonts w:hint="eastAsia" w:ascii="Times New Roman" w:hAnsi="Times New Roman" w:eastAsia="方正仿宋_GBK"/>
                <w:sz w:val="28"/>
                <w:szCs w:val="28"/>
              </w:rPr>
              <w:t>号</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F7CC8"/>
    <w:rsid w:val="2F9F7C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2017-01-12T06:00:00Z</dcterms:created>
  <dc:creator>Administrator</dc:creator>
  <cp:lastModifiedBy>Administrator</cp:lastModifiedBy>
  <dcterms:modified xsi:type="dcterms:W3CDTF">2017-01-12T06:03:42Z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