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FFFFFF"/>
        <w:spacing w:beforeAutospacing="0" w:afterAutospacing="0" w:line="700" w:lineRule="exact"/>
        <w:jc w:val="center"/>
        <w:rPr>
          <w:rStyle w:val="10"/>
          <w:rFonts w:hint="default"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</w:pPr>
      <w:r>
        <w:rPr>
          <w:rStyle w:val="10"/>
          <w:rFonts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  <w:t>天宁区关于鼓励企业省外员工</w:t>
      </w:r>
    </w:p>
    <w:p>
      <w:pPr>
        <w:pStyle w:val="6"/>
        <w:shd w:val="clear" w:color="auto" w:fill="FFFFFF"/>
        <w:spacing w:beforeAutospacing="0" w:afterAutospacing="0" w:line="700" w:lineRule="exact"/>
        <w:jc w:val="center"/>
        <w:rPr>
          <w:rStyle w:val="10"/>
          <w:rFonts w:hint="default"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</w:pPr>
      <w:r>
        <w:rPr>
          <w:rStyle w:val="10"/>
          <w:rFonts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  <w:t>留常过年的奖励政策</w:t>
      </w:r>
    </w:p>
    <w:p>
      <w:pPr>
        <w:pStyle w:val="6"/>
        <w:widowControl w:val="0"/>
        <w:shd w:val="clear" w:color="auto" w:fill="FFFFFF"/>
        <w:spacing w:beforeAutospacing="0" w:afterAutospacing="0" w:line="570" w:lineRule="exact"/>
        <w:ind w:firstLine="640" w:firstLineChars="200"/>
        <w:jc w:val="both"/>
        <w:rPr>
          <w:rFonts w:hint="default" w:ascii="方正仿宋_GBK" w:hAnsi="微软雅黑" w:eastAsia="方正仿宋_GBK" w:cs="方正仿宋_GBK"/>
          <w:color w:val="0C0C0C"/>
          <w:sz w:val="32"/>
          <w:szCs w:val="32"/>
          <w:shd w:val="clear" w:color="auto" w:fill="FFFFFF"/>
        </w:rPr>
      </w:pP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春节临近，全国中高风险地区数量居高不下，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为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减少返乡返工的人员流动，降低感染风险，关心关爱留常过年员工，现就鼓励企业江苏省外员工春节期间留常过节（以下简称“留常员工”），制定以下政策：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Style w:val="10"/>
          <w:rFonts w:hint="default" w:ascii="方正黑体_GBK" w:hAnsi="方正黑体_GBK" w:eastAsia="方正黑体_GBK" w:cs="方正黑体_GBK"/>
          <w:b w:val="0"/>
          <w:bCs/>
          <w:color w:val="0C0C0C"/>
          <w:sz w:val="32"/>
          <w:szCs w:val="32"/>
          <w:shd w:val="clear" w:color="auto" w:fill="FFFFFF"/>
        </w:rPr>
      </w:pPr>
      <w:r>
        <w:rPr>
          <w:rStyle w:val="10"/>
          <w:rFonts w:ascii="方正黑体_GBK" w:hAnsi="方正黑体_GBK" w:eastAsia="方正黑体_GBK" w:cs="方正黑体_GBK"/>
          <w:b w:val="0"/>
          <w:bCs/>
          <w:color w:val="0C0C0C"/>
          <w:sz w:val="32"/>
          <w:szCs w:val="32"/>
          <w:shd w:val="clear" w:color="auto" w:fill="FFFFFF"/>
        </w:rPr>
        <w:t>一、奖励政策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Style w:val="10"/>
          <w:rFonts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 xml:space="preserve">1. </w:t>
      </w:r>
      <w:r>
        <w:rPr>
          <w:rStyle w:val="10"/>
          <w:rFonts w:hint="default"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>给予员工</w:t>
      </w:r>
      <w:r>
        <w:rPr>
          <w:rStyle w:val="10"/>
          <w:rFonts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>留常奖励</w:t>
      </w:r>
      <w:r>
        <w:rPr>
          <w:rStyle w:val="10"/>
          <w:rFonts w:hint="default" w:ascii="Times New Roman" w:hAnsi="Times New Roman" w:eastAsia="方正楷体_GBK"/>
          <w:b w:val="0"/>
          <w:bCs/>
          <w:color w:val="0C0C0C"/>
          <w:sz w:val="35"/>
          <w:szCs w:val="35"/>
          <w:shd w:val="clear" w:color="auto" w:fill="FFFFFF"/>
        </w:rPr>
        <w:t>。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对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春节期间（除夕至正月十五）留常员工，按照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500元/人的标准，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给予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一次性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奖励。鼓励各企业配套落实留常奖励。（责任单位：区发展和改革局、科学技术局、工业和信息化局、商务局）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Style w:val="10"/>
          <w:rFonts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>2. 给予企业留人补助。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春节期间，企业组织留常员工总人数1000人（含）以上的，给予用工企业20万元奖励；留常总人数500人（含）—1000人的，给予用工企业10万元奖励；留常总人数100人（含）—500人的，给予用工企业5万元奖励。（责任单位：区发展和改革局、科学技术局、工业和信息化局、商务局）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Style w:val="10"/>
          <w:rFonts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>3. 给予房租减免补贴。</w:t>
      </w:r>
      <w:r>
        <w:rPr>
          <w:rFonts w:ascii="方正仿宋_GBK" w:hAnsi="Arial" w:eastAsia="方正仿宋_GBK" w:cs="Arial"/>
          <w:color w:val="222222"/>
          <w:sz w:val="32"/>
          <w:szCs w:val="32"/>
        </w:rPr>
        <w:t>春节期间，留常员工租用区内国有（集体）资产类集宿楼、人才公寓等，减免半月房租。</w:t>
      </w:r>
      <w:r>
        <w:rPr>
          <w:rStyle w:val="10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（责任单位：开发区、镇、各街道）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10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 xml:space="preserve">4. </w:t>
      </w:r>
      <w:r>
        <w:rPr>
          <w:rStyle w:val="10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组织</w:t>
      </w:r>
      <w:r>
        <w:rPr>
          <w:rStyle w:val="10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节日</w:t>
      </w:r>
      <w:r>
        <w:rPr>
          <w:rStyle w:val="10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关爱活动。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在落实疫情防控要求基础上，对春节期间不停工、不停产的重点项目、重点工程、重点企业一线员工开展走访慰问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。（责任单位：开发区、镇、各街道）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10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5. 鼓励</w:t>
      </w:r>
      <w:r>
        <w:rPr>
          <w:rStyle w:val="10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错峰放假调休。</w:t>
      </w:r>
      <w:r>
        <w:rPr>
          <w:rFonts w:hint="eastAsia" w:ascii="方正仿宋_GBK" w:hAnsi="Arial" w:eastAsia="方正仿宋_GBK" w:cs="Arial"/>
          <w:color w:val="222222"/>
          <w:sz w:val="32"/>
          <w:szCs w:val="32"/>
        </w:rPr>
        <w:t>鼓励企业提前谋划、科学制定春节前后生产计划，合理安排生产，错峰放假调休，对春节未能回家过节的员工，落实加班工资待遇，节后安排补休。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（责任单位：开发区、镇、各街道）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 xml:space="preserve">6. </w:t>
      </w:r>
      <w:r>
        <w:rPr>
          <w:rStyle w:val="10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赠送手机流量礼包。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向留常员工赠送“5G及流量大礼包”。通过中国联通等运营商，开展“为民办实事”活动，提供5G手机卡，手机流量包、免费赠送上网宽带及宽带提速降费等优惠活动。（责任单位：开发区、镇、各街道，中国联通常州分公司等）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</w:pPr>
      <w:r>
        <w:rPr>
          <w:rFonts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  <w:t>二、申报流程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30"/>
        <w:textAlignment w:val="auto"/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1. 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202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2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年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2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月15日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后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，符合条件的企业填写《企业外地员工留常过节汇总表》，并在企业内部公示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不少于5天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，向所在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街道（开发区、镇）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提交《企业外地员工留常过节汇总表》书面稿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及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电子稿，由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街道（开发区、镇）</w:t>
      </w:r>
      <w:r>
        <w:rPr>
          <w:rStyle w:val="10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审核</w:t>
      </w:r>
      <w:r>
        <w:rPr>
          <w:rStyle w:val="10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后上报行业主管部门。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2. </w:t>
      </w:r>
      <w:r>
        <w:rPr>
          <w:rStyle w:val="10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发改、科技、工信、商务等行业主管部门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按照职责，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会</w:t>
      </w:r>
      <w:r>
        <w:rPr>
          <w:rFonts w:hint="default" w:ascii="Times New Roman" w:hAnsi="Times New Roman" w:eastAsia="方正仿宋_GBK"/>
          <w:color w:val="0C0C0C"/>
          <w:spacing w:val="-6"/>
          <w:sz w:val="32"/>
          <w:szCs w:val="32"/>
          <w:shd w:val="clear" w:color="auto" w:fill="FFFFFF"/>
        </w:rPr>
        <w:t>同有关部门</w:t>
      </w:r>
      <w:r>
        <w:rPr>
          <w:rStyle w:val="10"/>
          <w:rFonts w:ascii="Times New Roman" w:hAnsi="方正仿宋_GBK" w:eastAsia="方正仿宋_GBK"/>
          <w:b w:val="0"/>
          <w:bCs/>
          <w:color w:val="0C0C0C"/>
          <w:spacing w:val="-6"/>
          <w:sz w:val="32"/>
          <w:szCs w:val="32"/>
          <w:shd w:val="clear" w:color="auto" w:fill="FFFFFF"/>
        </w:rPr>
        <w:t>分类审核后报区新冠肺炎疫情防控指挥部企业防控组。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</w:pPr>
      <w:r>
        <w:rPr>
          <w:rFonts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  <w:t>三、附则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1. 适用企业：注册、纳税在天宁区，且留常员工达到本企业省外员工总数70%的规上工业企业、规上服务业企业、高新技术企业和限上批零住餐企业。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2. 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适用人员：在本企业连续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缴纳社保满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6个月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且全程接种新冠疫苗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的江苏省外员工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，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以户籍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或身份证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为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依据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，员工社保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以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人社局核实情况为准。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方正仿宋_GBK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3. </w:t>
      </w:r>
      <w:r>
        <w:rPr>
          <w:rFonts w:ascii="方正仿宋_GBK" w:hAnsi="Times New Roman" w:eastAsia="方正仿宋_GBK"/>
          <w:color w:val="0C0C0C"/>
          <w:sz w:val="32"/>
          <w:szCs w:val="32"/>
          <w:shd w:val="clear" w:color="auto" w:fill="FFFFFF"/>
        </w:rPr>
        <w:t>企业对申报材料的真实性负责，对审核不严、虚报材料的企业，取消奖励。企业要严格履行疫情防控主体责任，落细落实防控举措，因企业自身对疫情防控工作不力造成影响的，实行“一票否决”，取消奖励。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4. 留常时间以员工行程码、</w:t>
      </w:r>
      <w:r>
        <w:rPr>
          <w:rFonts w:ascii="方正仿宋_GBK" w:hAnsi="Times New Roman" w:eastAsia="方正仿宋_GBK"/>
          <w:color w:val="0C0C0C"/>
          <w:sz w:val="32"/>
          <w:szCs w:val="32"/>
          <w:shd w:val="clear" w:color="auto" w:fill="FFFFFF"/>
        </w:rPr>
        <w:t>通信大数据行程卡等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截图为依据（2月14日至16日之间的截图）。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5. 春节期间保持连续生产的企业，要严格落实《劳动法》等法律法规和安全生产各项规定。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6. 本措施由区疫情防控指挥部企业防控组负责解释和组织实施，若与上级同类政策措施重复的，按照“就高不重复”的原则执行。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ascii="Times New Roman" w:hAnsi="Times New Roman" w:eastAsia="方正仿宋_GBK" w:cs="Times New Roman"/>
          <w:color w:val="0C0C0C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附件：1. </w:t>
      </w:r>
      <w:r>
        <w:rPr>
          <w:rFonts w:ascii="Times New Roman" w:hAnsi="Times New Roman" w:eastAsia="方正仿宋_GBK" w:cs="Times New Roman"/>
          <w:color w:val="0C0C0C"/>
          <w:kern w:val="0"/>
          <w:sz w:val="32"/>
          <w:szCs w:val="32"/>
          <w:shd w:val="clear" w:color="auto" w:fill="FFFFFF"/>
        </w:rPr>
        <w:t>企业外地员工留常过节汇总表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1600" w:firstLineChars="500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2. 申报承诺书</w:t>
      </w:r>
    </w:p>
    <w:p>
      <w:pPr>
        <w:pStyle w:val="6"/>
        <w:widowControl w:val="0"/>
        <w:shd w:val="clear" w:color="auto" w:fill="FFFFFF"/>
        <w:spacing w:beforeAutospacing="0" w:afterAutospacing="0" w:line="570" w:lineRule="exact"/>
        <w:ind w:firstLine="640" w:firstLineChars="200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</w:p>
    <w:p>
      <w:pPr>
        <w:pStyle w:val="6"/>
        <w:widowControl w:val="0"/>
        <w:shd w:val="clear" w:color="auto" w:fill="FFFFFF"/>
        <w:spacing w:beforeAutospacing="0" w:afterAutospacing="0" w:line="570" w:lineRule="exact"/>
        <w:ind w:firstLine="640" w:firstLineChars="200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</w:p>
    <w:p>
      <w:pPr>
        <w:pStyle w:val="6"/>
        <w:widowControl w:val="0"/>
        <w:shd w:val="clear" w:color="auto" w:fill="FFFFFF"/>
        <w:spacing w:beforeAutospacing="0" w:afterAutospacing="0" w:line="570" w:lineRule="exact"/>
        <w:ind w:firstLine="640" w:firstLineChars="200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</w:p>
    <w:p>
      <w:pPr>
        <w:pStyle w:val="6"/>
        <w:widowControl w:val="0"/>
        <w:shd w:val="clear" w:color="auto" w:fill="FFFFFF"/>
        <w:spacing w:beforeAutospacing="0" w:afterAutospacing="0" w:line="570" w:lineRule="exact"/>
        <w:ind w:firstLine="640" w:firstLineChars="200"/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</w:p>
    <w:p>
      <w:pPr>
        <w:pStyle w:val="6"/>
        <w:widowControl w:val="0"/>
        <w:shd w:val="clear" w:color="auto" w:fill="FFFFFF"/>
        <w:spacing w:beforeAutospacing="0" w:afterAutospacing="0" w:line="570" w:lineRule="exact"/>
        <w:ind w:firstLine="640" w:firstLineChars="200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</w:p>
    <w:p>
      <w:pPr>
        <w:pStyle w:val="6"/>
        <w:widowControl w:val="0"/>
        <w:shd w:val="clear" w:color="auto" w:fill="FFFFFF"/>
        <w:spacing w:beforeAutospacing="0" w:afterAutospacing="0" w:line="570" w:lineRule="exact"/>
        <w:jc w:val="both"/>
        <w:rPr>
          <w:rStyle w:val="10"/>
          <w:rFonts w:hint="default" w:ascii="Times New Roman" w:hAnsi="Times New Roman" w:eastAsia="方正黑体_GBK"/>
          <w:b w:val="0"/>
          <w:bCs/>
          <w:color w:val="0C0C0C"/>
          <w:sz w:val="32"/>
          <w:szCs w:val="32"/>
          <w:shd w:val="clear" w:color="auto" w:fill="FFFFFF"/>
        </w:rPr>
      </w:pPr>
      <w:r>
        <w:rPr>
          <w:rStyle w:val="10"/>
          <w:rFonts w:hint="default" w:ascii="Times New Roman" w:hAnsi="Times New Roman" w:eastAsia="方正黑体_GBK"/>
          <w:b w:val="0"/>
          <w:bCs/>
          <w:color w:val="0C0C0C"/>
          <w:sz w:val="32"/>
          <w:szCs w:val="32"/>
          <w:shd w:val="clear" w:color="auto" w:fill="FFFFFF"/>
        </w:rPr>
        <w:t>附件1</w:t>
      </w:r>
    </w:p>
    <w:p>
      <w:pPr>
        <w:spacing w:beforeLines="50" w:afterLines="50" w:line="70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企业外地员工留常过节汇总表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217"/>
        <w:gridCol w:w="2354"/>
        <w:gridCol w:w="1060"/>
        <w:gridCol w:w="216"/>
        <w:gridCol w:w="1131"/>
        <w:gridCol w:w="708"/>
        <w:gridCol w:w="431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07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企业名称</w:t>
            </w:r>
          </w:p>
        </w:tc>
        <w:tc>
          <w:tcPr>
            <w:tcW w:w="2002" w:type="pct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  <w:tc>
          <w:tcPr>
            <w:tcW w:w="1015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企业工商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注册地</w:t>
            </w:r>
          </w:p>
        </w:tc>
        <w:tc>
          <w:tcPr>
            <w:tcW w:w="909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07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所属街道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（开发区、镇）</w:t>
            </w:r>
          </w:p>
        </w:tc>
        <w:tc>
          <w:tcPr>
            <w:tcW w:w="1298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  <w:tc>
          <w:tcPr>
            <w:tcW w:w="704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所属行业</w:t>
            </w:r>
          </w:p>
        </w:tc>
        <w:tc>
          <w:tcPr>
            <w:tcW w:w="1924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07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省外员工人数</w:t>
            </w:r>
          </w:p>
        </w:tc>
        <w:tc>
          <w:tcPr>
            <w:tcW w:w="1298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  <w:tc>
          <w:tcPr>
            <w:tcW w:w="704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留常比例</w:t>
            </w:r>
          </w:p>
        </w:tc>
        <w:tc>
          <w:tcPr>
            <w:tcW w:w="1924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072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联系人</w:t>
            </w:r>
          </w:p>
        </w:tc>
        <w:tc>
          <w:tcPr>
            <w:tcW w:w="1298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  <w:tc>
          <w:tcPr>
            <w:tcW w:w="704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联系方式</w:t>
            </w:r>
          </w:p>
        </w:tc>
        <w:tc>
          <w:tcPr>
            <w:tcW w:w="1924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9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企业留常过节外地员工名单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序号</w:t>
            </w:r>
          </w:p>
        </w:tc>
        <w:tc>
          <w:tcPr>
            <w:tcW w:w="672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姓名</w:t>
            </w:r>
          </w:p>
        </w:tc>
        <w:tc>
          <w:tcPr>
            <w:tcW w:w="1298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身份证号码</w:t>
            </w:r>
          </w:p>
        </w:tc>
        <w:tc>
          <w:tcPr>
            <w:tcW w:w="585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原籍</w:t>
            </w:r>
          </w:p>
        </w:tc>
        <w:tc>
          <w:tcPr>
            <w:tcW w:w="743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手机号码</w:t>
            </w:r>
          </w:p>
        </w:tc>
        <w:tc>
          <w:tcPr>
            <w:tcW w:w="629" w:type="pct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是否租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住国有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或集体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公  寓</w:t>
            </w:r>
          </w:p>
        </w:tc>
        <w:tc>
          <w:tcPr>
            <w:tcW w:w="670" w:type="pct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是否全程接种疫苗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2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8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2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8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2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8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2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8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2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8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2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8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0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2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8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pct"/>
            <w:gridSpan w:val="2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0" w:type="pct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71" w:type="pct"/>
            <w:gridSpan w:val="3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企业自审意见（盖章）：</w:t>
            </w:r>
          </w:p>
          <w:p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年月日</w:t>
            </w:r>
          </w:p>
        </w:tc>
        <w:tc>
          <w:tcPr>
            <w:tcW w:w="2628" w:type="pct"/>
            <w:gridSpan w:val="6"/>
          </w:tcPr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line="300" w:lineRule="exact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line="300" w:lineRule="exac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街道（开发区、镇）审核意见（盖章）：</w:t>
            </w:r>
          </w:p>
          <w:p>
            <w:pPr>
              <w:spacing w:line="300" w:lineRule="exact"/>
              <w:ind w:firstLine="1320" w:firstLineChars="550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年月日</w:t>
            </w:r>
          </w:p>
        </w:tc>
      </w:tr>
    </w:tbl>
    <w:p>
      <w:pPr>
        <w:pStyle w:val="6"/>
        <w:widowControl w:val="0"/>
        <w:shd w:val="clear" w:color="auto" w:fill="FFFFFF"/>
        <w:spacing w:beforeAutospacing="0" w:afterAutospacing="0" w:line="570" w:lineRule="exact"/>
        <w:jc w:val="both"/>
        <w:rPr>
          <w:rStyle w:val="10"/>
          <w:rFonts w:hint="default" w:ascii="Times New Roman" w:hAnsi="Times New Roman" w:eastAsia="方正黑体_GBK"/>
          <w:b w:val="0"/>
          <w:bCs/>
          <w:color w:val="0C0C0C"/>
          <w:sz w:val="32"/>
          <w:szCs w:val="32"/>
          <w:shd w:val="clear" w:color="auto" w:fill="FFFFFF"/>
        </w:rPr>
      </w:pPr>
      <w:r>
        <w:rPr>
          <w:rStyle w:val="10"/>
          <w:rFonts w:ascii="Times New Roman" w:hAnsi="Times New Roman" w:eastAsia="方正黑体_GBK"/>
          <w:b w:val="0"/>
          <w:bCs/>
          <w:color w:val="0C0C0C"/>
          <w:sz w:val="32"/>
          <w:szCs w:val="32"/>
          <w:shd w:val="clear" w:color="auto" w:fill="FFFFFF"/>
        </w:rPr>
        <w:t>附件2</w:t>
      </w:r>
    </w:p>
    <w:p>
      <w:pPr>
        <w:pStyle w:val="6"/>
        <w:widowControl w:val="0"/>
        <w:shd w:val="clear" w:color="auto" w:fill="FFFFFF"/>
        <w:spacing w:beforeAutospacing="0" w:afterAutospacing="0" w:line="570" w:lineRule="exact"/>
        <w:jc w:val="both"/>
        <w:rPr>
          <w:rStyle w:val="10"/>
          <w:rFonts w:hint="default" w:ascii="Times New Roman" w:hAnsi="Times New Roman" w:eastAsia="方正黑体_GBK"/>
          <w:b w:val="0"/>
          <w:bCs/>
          <w:color w:val="0C0C0C"/>
          <w:sz w:val="32"/>
          <w:szCs w:val="32"/>
          <w:shd w:val="clear" w:color="auto" w:fill="FFFFFF"/>
        </w:rPr>
      </w:pPr>
    </w:p>
    <w:p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申报承诺书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C0C0C"/>
          <w:kern w:val="0"/>
          <w:sz w:val="32"/>
          <w:szCs w:val="32"/>
          <w:shd w:val="clear" w:color="auto" w:fill="FFFFFF"/>
        </w:rPr>
      </w:pPr>
    </w:p>
    <w:p>
      <w:pPr>
        <w:spacing w:line="570" w:lineRule="exact"/>
        <w:ind w:firstLine="640" w:firstLineChars="200"/>
        <w:rPr>
          <w:rFonts w:ascii="Times New Roman" w:hAnsi="Times New Roman" w:eastAsia="方正仿宋_GBK" w:cs="Times New Roman"/>
          <w:color w:val="0C0C0C"/>
          <w:kern w:val="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color w:val="0C0C0C"/>
          <w:kern w:val="0"/>
          <w:sz w:val="32"/>
          <w:szCs w:val="32"/>
          <w:shd w:val="clear" w:color="auto" w:fill="FFFFFF"/>
        </w:rPr>
        <w:t>本单位承诺:申报所用材料、数据均真实有效，所得奖补将用于春节期间稳岗奖励，确保将奖励资金足额发放给留常员工。如违背以上承诺，愿意承担相关责任及惩罚。</w:t>
      </w:r>
    </w:p>
    <w:p>
      <w:pPr>
        <w:spacing w:line="570" w:lineRule="exact"/>
        <w:ind w:firstLine="640" w:firstLineChars="200"/>
        <w:rPr>
          <w:rFonts w:ascii="Times New Roman" w:hAnsi="Times New Roman" w:eastAsia="方正仿宋_GBK" w:cs="Times New Roman"/>
          <w:color w:val="0C0C0C"/>
          <w:kern w:val="0"/>
          <w:sz w:val="32"/>
          <w:szCs w:val="32"/>
          <w:shd w:val="clear" w:color="auto" w:fill="FFFFFF"/>
        </w:rPr>
      </w:pPr>
    </w:p>
    <w:p>
      <w:pPr>
        <w:spacing w:line="570" w:lineRule="exact"/>
        <w:ind w:firstLine="640" w:firstLineChars="200"/>
        <w:rPr>
          <w:rFonts w:ascii="Times New Roman" w:hAnsi="Times New Roman" w:eastAsia="方正仿宋_GBK" w:cs="Times New Roman"/>
          <w:color w:val="0C0C0C"/>
          <w:kern w:val="0"/>
          <w:sz w:val="32"/>
          <w:szCs w:val="32"/>
          <w:shd w:val="clear" w:color="auto" w:fill="FFFFFF"/>
        </w:rPr>
      </w:pPr>
    </w:p>
    <w:p>
      <w:pPr>
        <w:spacing w:line="57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 xml:space="preserve">                              负责人签字：</w:t>
      </w:r>
    </w:p>
    <w:p>
      <w:pPr>
        <w:spacing w:line="57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 xml:space="preserve">                               （盖章）</w:t>
      </w:r>
    </w:p>
    <w:p>
      <w:pPr>
        <w:pStyle w:val="2"/>
      </w:pPr>
      <w:bookmarkStart w:id="0" w:name="_GoBack"/>
      <w:bookmarkEnd w:id="0"/>
    </w:p>
    <w:sectPr>
      <w:footerReference r:id="rId3" w:type="default"/>
      <w:pgSz w:w="11905" w:h="16838"/>
      <w:pgMar w:top="2098" w:right="1531" w:bottom="1984" w:left="1531" w:header="709" w:footer="1361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BF5604-ADCA-449F-A461-F8EEB5F8AD1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79F4024-85BD-4C11-8509-57857A4890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BF30192-F42B-4B9E-A1D7-03C819222A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29CB77-A54C-417B-8137-8BD86DD82D0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2EFA14E-1E23-4902-B960-2B249EB22DA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32D3627-A5DA-42DA-992D-C3F23F72A4F1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522D6811-FADD-4BE1-A26C-494CDECC68F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A0B92D4-3AFB-406D-ADFB-34081004635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4387039-7A55-4280-8954-860D6B0F32EB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9C5B71CA-FB79-4E54-9B5C-C0E0FABE71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63905" cy="3429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7pt;width:60.15pt;mso-position-horizontal:outside;mso-position-horizontal-relative:margin;z-index:251659264;mso-width-relative:page;mso-height-relative:page;" filled="f" stroked="f" coordsize="21600,21600" o:gfxdata="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L7I+DUAAAABAEAAA8AAAAA&#10;AAAAAQAgAAAAIgAAAGRycy9kb3ducmV2LnhtbFBLAQIUABQAAAAIAIdO4kCRFwxn3wEAALADAAAO&#10;AAAAAAAAAAEAIAAAACMBAABkcnMvZTJvRG9jLnhtbFBLBQYAAAAABgAGAFkBAAB0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ascii="宋体" w:hAnsi="宋体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3FB"/>
    <w:rsid w:val="000125B0"/>
    <w:rsid w:val="00014AD0"/>
    <w:rsid w:val="00063541"/>
    <w:rsid w:val="0006794E"/>
    <w:rsid w:val="000936F2"/>
    <w:rsid w:val="00094657"/>
    <w:rsid w:val="000A0543"/>
    <w:rsid w:val="000A59F4"/>
    <w:rsid w:val="000B56B9"/>
    <w:rsid w:val="0010728C"/>
    <w:rsid w:val="00115918"/>
    <w:rsid w:val="001316F8"/>
    <w:rsid w:val="00175B5E"/>
    <w:rsid w:val="00177C1E"/>
    <w:rsid w:val="00183161"/>
    <w:rsid w:val="001B4E56"/>
    <w:rsid w:val="001C32A9"/>
    <w:rsid w:val="001E7914"/>
    <w:rsid w:val="001F769B"/>
    <w:rsid w:val="00213F25"/>
    <w:rsid w:val="00224ED3"/>
    <w:rsid w:val="00247C06"/>
    <w:rsid w:val="0027019A"/>
    <w:rsid w:val="00292007"/>
    <w:rsid w:val="002D6550"/>
    <w:rsid w:val="003103DF"/>
    <w:rsid w:val="00336494"/>
    <w:rsid w:val="00336B43"/>
    <w:rsid w:val="00346BA5"/>
    <w:rsid w:val="00352EFA"/>
    <w:rsid w:val="003A2AFB"/>
    <w:rsid w:val="003C16E3"/>
    <w:rsid w:val="003E6D59"/>
    <w:rsid w:val="00403AC3"/>
    <w:rsid w:val="004046B2"/>
    <w:rsid w:val="0043277E"/>
    <w:rsid w:val="00434806"/>
    <w:rsid w:val="00434C07"/>
    <w:rsid w:val="004562BD"/>
    <w:rsid w:val="004B1E11"/>
    <w:rsid w:val="004B7D0D"/>
    <w:rsid w:val="004F4171"/>
    <w:rsid w:val="005051A4"/>
    <w:rsid w:val="005575DE"/>
    <w:rsid w:val="00567DBB"/>
    <w:rsid w:val="005916F2"/>
    <w:rsid w:val="005938FF"/>
    <w:rsid w:val="005D2D0B"/>
    <w:rsid w:val="005E0801"/>
    <w:rsid w:val="005E0EDB"/>
    <w:rsid w:val="005F5657"/>
    <w:rsid w:val="005F7448"/>
    <w:rsid w:val="00650CA8"/>
    <w:rsid w:val="006B6384"/>
    <w:rsid w:val="007038FE"/>
    <w:rsid w:val="0072450E"/>
    <w:rsid w:val="00793FA4"/>
    <w:rsid w:val="007B0543"/>
    <w:rsid w:val="007D3E9F"/>
    <w:rsid w:val="007E6B77"/>
    <w:rsid w:val="007F2CAC"/>
    <w:rsid w:val="008413FB"/>
    <w:rsid w:val="00865F83"/>
    <w:rsid w:val="00873DF0"/>
    <w:rsid w:val="008855F7"/>
    <w:rsid w:val="00887DDE"/>
    <w:rsid w:val="00895310"/>
    <w:rsid w:val="008977D6"/>
    <w:rsid w:val="008B2FC6"/>
    <w:rsid w:val="008C69C0"/>
    <w:rsid w:val="008E0A64"/>
    <w:rsid w:val="008E78CF"/>
    <w:rsid w:val="00901A8F"/>
    <w:rsid w:val="0093043C"/>
    <w:rsid w:val="009331AC"/>
    <w:rsid w:val="00940C6E"/>
    <w:rsid w:val="0094505C"/>
    <w:rsid w:val="0095523E"/>
    <w:rsid w:val="00962760"/>
    <w:rsid w:val="00977547"/>
    <w:rsid w:val="00986271"/>
    <w:rsid w:val="009B0B3F"/>
    <w:rsid w:val="009C04D9"/>
    <w:rsid w:val="009D0C35"/>
    <w:rsid w:val="009E7F9D"/>
    <w:rsid w:val="00A16327"/>
    <w:rsid w:val="00A64E76"/>
    <w:rsid w:val="00A809E7"/>
    <w:rsid w:val="00AC7E31"/>
    <w:rsid w:val="00AD1E0D"/>
    <w:rsid w:val="00AE001F"/>
    <w:rsid w:val="00AE1C41"/>
    <w:rsid w:val="00AF5C39"/>
    <w:rsid w:val="00B04D02"/>
    <w:rsid w:val="00B12D6C"/>
    <w:rsid w:val="00B56B6D"/>
    <w:rsid w:val="00BA4FA4"/>
    <w:rsid w:val="00BB6D73"/>
    <w:rsid w:val="00BC620D"/>
    <w:rsid w:val="00BC7670"/>
    <w:rsid w:val="00C25E55"/>
    <w:rsid w:val="00C36F56"/>
    <w:rsid w:val="00C4352E"/>
    <w:rsid w:val="00C447DE"/>
    <w:rsid w:val="00C54C31"/>
    <w:rsid w:val="00C65B52"/>
    <w:rsid w:val="00C911AD"/>
    <w:rsid w:val="00CB6E40"/>
    <w:rsid w:val="00CE6439"/>
    <w:rsid w:val="00CE66C9"/>
    <w:rsid w:val="00D32716"/>
    <w:rsid w:val="00D87A8D"/>
    <w:rsid w:val="00D95201"/>
    <w:rsid w:val="00DE0F54"/>
    <w:rsid w:val="00DE4E1A"/>
    <w:rsid w:val="00E03B7B"/>
    <w:rsid w:val="00E05742"/>
    <w:rsid w:val="00E213F6"/>
    <w:rsid w:val="00E33ED1"/>
    <w:rsid w:val="00E5016D"/>
    <w:rsid w:val="00E7315D"/>
    <w:rsid w:val="00E824A0"/>
    <w:rsid w:val="00EF3A21"/>
    <w:rsid w:val="00F23331"/>
    <w:rsid w:val="00F30E20"/>
    <w:rsid w:val="00F8597A"/>
    <w:rsid w:val="00FA3196"/>
    <w:rsid w:val="00FA5005"/>
    <w:rsid w:val="025A6E99"/>
    <w:rsid w:val="02D03E85"/>
    <w:rsid w:val="058836A3"/>
    <w:rsid w:val="05ED7807"/>
    <w:rsid w:val="0EC02441"/>
    <w:rsid w:val="11437690"/>
    <w:rsid w:val="13CD731B"/>
    <w:rsid w:val="1C835FB1"/>
    <w:rsid w:val="25805631"/>
    <w:rsid w:val="2EB230AD"/>
    <w:rsid w:val="55FC237A"/>
    <w:rsid w:val="56A93663"/>
    <w:rsid w:val="5CDD7F3F"/>
    <w:rsid w:val="607C06E3"/>
    <w:rsid w:val="67825B45"/>
    <w:rsid w:val="6A391291"/>
    <w:rsid w:val="70FC6B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line="360" w:lineRule="auto"/>
      <w:ind w:firstLine="630"/>
      <w:jc w:val="left"/>
    </w:pPr>
    <w:rPr>
      <w:rFonts w:eastAsia="仿宋_GB2312"/>
      <w:sz w:val="32"/>
      <w:szCs w:val="20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 w:cs="Times New Roman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页眉 Char"/>
    <w:basedOn w:val="9"/>
    <w:link w:val="5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2">
    <w:name w:val="页脚 Char"/>
    <w:basedOn w:val="9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14">
    <w:name w:val="bjh-p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FFA358-D23E-452D-90E0-B15F802013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289</Words>
  <Characters>1653</Characters>
  <Lines>13</Lines>
  <Paragraphs>3</Paragraphs>
  <TotalTime>12</TotalTime>
  <ScaleCrop>false</ScaleCrop>
  <LinksUpToDate>false</LinksUpToDate>
  <CharactersWithSpaces>1939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2022-01-20T05:51:00Z</dcterms:created>
  <dc:creator>user</dc:creator>
  <cp:lastModifiedBy>Administrator</cp:lastModifiedBy>
  <cp:lastPrinted>2022-01-21T03:19:00Z</cp:lastPrinted>
  <dcterms:modified xsi:type="dcterms:W3CDTF">2022-01-25T06:58:49Z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SaveFontToCloudKey">
    <vt:lpwstr>257934528_embed</vt:lpwstr>
  </property>
  <property fmtid="{D5CDD505-2E9C-101B-9397-08002B2CF9AE}" pid="4" name="ICV">
    <vt:lpwstr>47F0CDBB6668476CA5F130F573E09A7E</vt:lpwstr>
  </property>
</Properties>
</file>